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562A3F" w:rsidRPr="00166775" w14:paraId="58F9D6F6" w14:textId="77777777" w:rsidTr="00245E9F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EF7A" w14:textId="77777777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CHÍNH PHỦ</w:t>
            </w: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6677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22850CB0" w14:textId="171314C6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775">
              <w:rPr>
                <w:rFonts w:ascii="Arial" w:hAnsi="Arial" w:cs="Arial"/>
                <w:color w:val="000000"/>
                <w:sz w:val="20"/>
                <w:szCs w:val="20"/>
              </w:rPr>
              <w:t>Số: 132/2026/NĐ-CP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48F08" w14:textId="77777777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bookmarkStart w:id="0" w:name="_Hlk225157734"/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1667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166775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bookmarkEnd w:id="0"/>
          <w:p w14:paraId="1230109B" w14:textId="77777777" w:rsidR="00562A3F" w:rsidRPr="00166775" w:rsidRDefault="00562A3F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166775">
              <w:rPr>
                <w:rFonts w:ascii="Arial" w:hAnsi="Arial" w:cs="Arial"/>
                <w:i/>
                <w:sz w:val="20"/>
                <w:szCs w:val="20"/>
              </w:rPr>
              <w:t>Hà Nội, ngày 06 tháng 4 năm 2026</w:t>
            </w:r>
          </w:p>
        </w:tc>
      </w:tr>
    </w:tbl>
    <w:p w14:paraId="394386DF" w14:textId="77777777" w:rsidR="00562A3F" w:rsidRPr="00166775" w:rsidRDefault="00562A3F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4BF7C03D" w14:textId="5210BC0E" w:rsidR="0001079D" w:rsidRPr="00166775" w:rsidRDefault="0001079D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96B54E" w14:textId="77777777" w:rsidR="0001079D" w:rsidRPr="00166775" w:rsidRDefault="00B91103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NGH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 xml:space="preserve">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</w:t>
      </w:r>
    </w:p>
    <w:p w14:paraId="02B666AD" w14:textId="77777777" w:rsidR="0001079D" w:rsidRPr="00166775" w:rsidRDefault="00B91103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m</w:t>
      </w:r>
      <w:r w:rsidRPr="00166775">
        <w:rPr>
          <w:rFonts w:ascii="Arial" w:hAnsi="Arial" w:cs="Arial"/>
          <w:b/>
          <w:sz w:val="20"/>
          <w:szCs w:val="20"/>
        </w:rPr>
        <w:t>ộ</w:t>
      </w:r>
      <w:r w:rsidRPr="00166775">
        <w:rPr>
          <w:rFonts w:ascii="Arial" w:hAnsi="Arial" w:cs="Arial"/>
          <w:b/>
          <w:sz w:val="20"/>
          <w:szCs w:val="20"/>
        </w:rPr>
        <w:t>t s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 xml:space="preserve">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Ngh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 xml:space="preserve">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s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 xml:space="preserve"> 41/2018/NĐ-CP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ngày 12 tháng 3 năm 2018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Chính ph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 xml:space="preserve"> quy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 xml:space="preserve">m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hành chính trong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toán, ki</w:t>
      </w:r>
      <w:r w:rsidRPr="00166775">
        <w:rPr>
          <w:rFonts w:ascii="Arial" w:hAnsi="Arial" w:cs="Arial"/>
          <w:b/>
          <w:sz w:val="20"/>
          <w:szCs w:val="20"/>
        </w:rPr>
        <w:t>ể</w:t>
      </w:r>
      <w:r w:rsidRPr="00166775">
        <w:rPr>
          <w:rFonts w:ascii="Arial" w:hAnsi="Arial" w:cs="Arial"/>
          <w:b/>
          <w:sz w:val="20"/>
          <w:szCs w:val="20"/>
        </w:rPr>
        <w:t>m toán đ</w:t>
      </w:r>
      <w:r w:rsidRPr="00166775">
        <w:rPr>
          <w:rFonts w:ascii="Arial" w:hAnsi="Arial" w:cs="Arial"/>
          <w:b/>
          <w:sz w:val="20"/>
          <w:szCs w:val="20"/>
        </w:rPr>
        <w:t>ộ</w:t>
      </w:r>
      <w:r w:rsidRPr="00166775">
        <w:rPr>
          <w:rFonts w:ascii="Arial" w:hAnsi="Arial" w:cs="Arial"/>
          <w:b/>
          <w:sz w:val="20"/>
          <w:szCs w:val="20"/>
        </w:rPr>
        <w:t>c l</w:t>
      </w:r>
      <w:r w:rsidRPr="00166775">
        <w:rPr>
          <w:rFonts w:ascii="Arial" w:hAnsi="Arial" w:cs="Arial"/>
          <w:b/>
          <w:sz w:val="20"/>
          <w:szCs w:val="20"/>
        </w:rPr>
        <w:t>ậ</w:t>
      </w:r>
      <w:r w:rsidRPr="00166775">
        <w:rPr>
          <w:rFonts w:ascii="Arial" w:hAnsi="Arial" w:cs="Arial"/>
          <w:b/>
          <w:sz w:val="20"/>
          <w:szCs w:val="20"/>
        </w:rPr>
        <w:t>p</w:t>
      </w:r>
    </w:p>
    <w:p w14:paraId="389EB78F" w14:textId="77777777" w:rsidR="00562A3F" w:rsidRPr="00166775" w:rsidRDefault="00562A3F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A8DBFB5" w14:textId="670B53E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T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ch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>c Chính ph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 xml:space="preserve">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63/2025/QH15;</w:t>
      </w:r>
    </w:p>
    <w:p w14:paraId="1B0059D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15/2012/QH13;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 xml:space="preserve">u </w:t>
      </w:r>
      <w:r w:rsidRPr="00166775">
        <w:rPr>
          <w:rFonts w:ascii="Arial" w:hAnsi="Arial" w:cs="Arial"/>
          <w:i/>
          <w:sz w:val="20"/>
          <w:szCs w:val="20"/>
        </w:rPr>
        <w:t>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67/2020/QH14;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u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88/2025/QH15;</w:t>
      </w:r>
    </w:p>
    <w:p w14:paraId="7782C0A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K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toán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88/2015/QH13;</w:t>
      </w:r>
    </w:p>
    <w:p w14:paraId="6E26A28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u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Ch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>ng khoán,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K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toán,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K</w:t>
      </w:r>
      <w:r w:rsidRPr="00166775">
        <w:rPr>
          <w:rFonts w:ascii="Arial" w:hAnsi="Arial" w:cs="Arial"/>
          <w:i/>
          <w:sz w:val="20"/>
          <w:szCs w:val="20"/>
        </w:rPr>
        <w:t>i</w:t>
      </w:r>
      <w:r w:rsidRPr="00166775">
        <w:rPr>
          <w:rFonts w:ascii="Arial" w:hAnsi="Arial" w:cs="Arial"/>
          <w:i/>
          <w:sz w:val="20"/>
          <w:szCs w:val="20"/>
        </w:rPr>
        <w:t>ể</w:t>
      </w:r>
      <w:r w:rsidRPr="00166775">
        <w:rPr>
          <w:rFonts w:ascii="Arial" w:hAnsi="Arial" w:cs="Arial"/>
          <w:i/>
          <w:sz w:val="20"/>
          <w:szCs w:val="20"/>
        </w:rPr>
        <w:t>m toán đ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c l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p,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Ngân sách nhà nư</w:t>
      </w:r>
      <w:r w:rsidRPr="00166775">
        <w:rPr>
          <w:rFonts w:ascii="Arial" w:hAnsi="Arial" w:cs="Arial"/>
          <w:i/>
          <w:sz w:val="20"/>
          <w:szCs w:val="20"/>
        </w:rPr>
        <w:t>ớ</w:t>
      </w:r>
      <w:r w:rsidRPr="00166775">
        <w:rPr>
          <w:rFonts w:ascii="Arial" w:hAnsi="Arial" w:cs="Arial"/>
          <w:i/>
          <w:sz w:val="20"/>
          <w:szCs w:val="20"/>
        </w:rPr>
        <w:t>c,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Qu</w:t>
      </w:r>
      <w:r w:rsidRPr="00166775">
        <w:rPr>
          <w:rFonts w:ascii="Arial" w:hAnsi="Arial" w:cs="Arial"/>
          <w:i/>
          <w:sz w:val="20"/>
          <w:szCs w:val="20"/>
        </w:rPr>
        <w:t>ả</w:t>
      </w:r>
      <w:r w:rsidRPr="00166775">
        <w:rPr>
          <w:rFonts w:ascii="Arial" w:hAnsi="Arial" w:cs="Arial"/>
          <w:i/>
          <w:sz w:val="20"/>
          <w:szCs w:val="20"/>
        </w:rPr>
        <w:t>n lý,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d</w:t>
      </w:r>
      <w:r w:rsidRPr="00166775">
        <w:rPr>
          <w:rFonts w:ascii="Arial" w:hAnsi="Arial" w:cs="Arial"/>
          <w:i/>
          <w:sz w:val="20"/>
          <w:szCs w:val="20"/>
        </w:rPr>
        <w:t>ụ</w:t>
      </w:r>
      <w:r w:rsidRPr="00166775">
        <w:rPr>
          <w:rFonts w:ascii="Arial" w:hAnsi="Arial" w:cs="Arial"/>
          <w:i/>
          <w:sz w:val="20"/>
          <w:szCs w:val="20"/>
        </w:rPr>
        <w:t>ng tài s</w:t>
      </w:r>
      <w:r w:rsidRPr="00166775">
        <w:rPr>
          <w:rFonts w:ascii="Arial" w:hAnsi="Arial" w:cs="Arial"/>
          <w:i/>
          <w:sz w:val="20"/>
          <w:szCs w:val="20"/>
        </w:rPr>
        <w:t>ả</w:t>
      </w:r>
      <w:r w:rsidRPr="00166775">
        <w:rPr>
          <w:rFonts w:ascii="Arial" w:hAnsi="Arial" w:cs="Arial"/>
          <w:i/>
          <w:sz w:val="20"/>
          <w:szCs w:val="20"/>
        </w:rPr>
        <w:t>n công,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Qu</w:t>
      </w:r>
      <w:r w:rsidRPr="00166775">
        <w:rPr>
          <w:rFonts w:ascii="Arial" w:hAnsi="Arial" w:cs="Arial"/>
          <w:i/>
          <w:sz w:val="20"/>
          <w:szCs w:val="20"/>
        </w:rPr>
        <w:t>ả</w:t>
      </w:r>
      <w:r w:rsidRPr="00166775">
        <w:rPr>
          <w:rFonts w:ascii="Arial" w:hAnsi="Arial" w:cs="Arial"/>
          <w:i/>
          <w:sz w:val="20"/>
          <w:szCs w:val="20"/>
        </w:rPr>
        <w:t>n lý thu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>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Thu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thu nh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p cá nhân,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D</w:t>
      </w:r>
      <w:r w:rsidRPr="00166775">
        <w:rPr>
          <w:rFonts w:ascii="Arial" w:hAnsi="Arial" w:cs="Arial"/>
          <w:i/>
          <w:sz w:val="20"/>
          <w:szCs w:val="20"/>
        </w:rPr>
        <w:t>ự</w:t>
      </w:r>
      <w:r w:rsidRPr="00166775">
        <w:rPr>
          <w:rFonts w:ascii="Arial" w:hAnsi="Arial" w:cs="Arial"/>
          <w:i/>
          <w:sz w:val="20"/>
          <w:szCs w:val="20"/>
        </w:rPr>
        <w:t xml:space="preserve"> tr</w:t>
      </w:r>
      <w:r w:rsidRPr="00166775">
        <w:rPr>
          <w:rFonts w:ascii="Arial" w:hAnsi="Arial" w:cs="Arial"/>
          <w:i/>
          <w:sz w:val="20"/>
          <w:szCs w:val="20"/>
        </w:rPr>
        <w:t>ữ</w:t>
      </w:r>
      <w:r w:rsidRPr="00166775">
        <w:rPr>
          <w:rFonts w:ascii="Arial" w:hAnsi="Arial" w:cs="Arial"/>
          <w:i/>
          <w:sz w:val="20"/>
          <w:szCs w:val="20"/>
        </w:rPr>
        <w:t xml:space="preserve"> qu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>c gia,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lý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56/2024/QH15;</w:t>
      </w:r>
    </w:p>
    <w:p w14:paraId="5B372F9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Phòng, ch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>ng r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ti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n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14/2022/QH15;</w:t>
      </w:r>
    </w:p>
    <w:p w14:paraId="6F28FC5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Căn c</w:t>
      </w:r>
      <w:r w:rsidRPr="00166775">
        <w:rPr>
          <w:rFonts w:ascii="Arial" w:hAnsi="Arial" w:cs="Arial"/>
          <w:i/>
          <w:sz w:val="20"/>
          <w:szCs w:val="20"/>
        </w:rPr>
        <w:t>ứ</w:t>
      </w:r>
      <w:r w:rsidRPr="00166775">
        <w:rPr>
          <w:rFonts w:ascii="Arial" w:hAnsi="Arial" w:cs="Arial"/>
          <w:i/>
          <w:sz w:val="20"/>
          <w:szCs w:val="20"/>
        </w:rPr>
        <w:t xml:space="preserve"> Lu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t Phòng, ch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>ng kh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ng b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28/2013/QH13;</w:t>
      </w:r>
    </w:p>
    <w:p w14:paraId="1265323B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Theo đ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 xml:space="preserve"> ngh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 xml:space="preserve">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B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 xml:space="preserve"> trư</w:t>
      </w:r>
      <w:r w:rsidRPr="00166775">
        <w:rPr>
          <w:rFonts w:ascii="Arial" w:hAnsi="Arial" w:cs="Arial"/>
          <w:i/>
          <w:sz w:val="20"/>
          <w:szCs w:val="20"/>
        </w:rPr>
        <w:t>ở</w:t>
      </w:r>
      <w:r w:rsidRPr="00166775">
        <w:rPr>
          <w:rFonts w:ascii="Arial" w:hAnsi="Arial" w:cs="Arial"/>
          <w:i/>
          <w:sz w:val="20"/>
          <w:szCs w:val="20"/>
        </w:rPr>
        <w:t>ng B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 xml:space="preserve"> Tài chính;</w:t>
      </w:r>
    </w:p>
    <w:p w14:paraId="4F44C3E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i/>
          <w:sz w:val="20"/>
          <w:szCs w:val="20"/>
        </w:rPr>
        <w:t>Chính ph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 xml:space="preserve"> ban hành Ngh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 xml:space="preserve"> đ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>nh s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>a đ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>i, b</w:t>
      </w:r>
      <w:r w:rsidRPr="00166775">
        <w:rPr>
          <w:rFonts w:ascii="Arial" w:hAnsi="Arial" w:cs="Arial"/>
          <w:i/>
          <w:sz w:val="20"/>
          <w:szCs w:val="20"/>
        </w:rPr>
        <w:t>ổ</w:t>
      </w:r>
      <w:r w:rsidRPr="00166775">
        <w:rPr>
          <w:rFonts w:ascii="Arial" w:hAnsi="Arial" w:cs="Arial"/>
          <w:i/>
          <w:sz w:val="20"/>
          <w:szCs w:val="20"/>
        </w:rPr>
        <w:t xml:space="preserve"> sung m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t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đi</w:t>
      </w:r>
      <w:r w:rsidRPr="00166775">
        <w:rPr>
          <w:rFonts w:ascii="Arial" w:hAnsi="Arial" w:cs="Arial"/>
          <w:i/>
          <w:sz w:val="20"/>
          <w:szCs w:val="20"/>
        </w:rPr>
        <w:t>ề</w:t>
      </w:r>
      <w:r w:rsidRPr="00166775">
        <w:rPr>
          <w:rFonts w:ascii="Arial" w:hAnsi="Arial" w:cs="Arial"/>
          <w:i/>
          <w:sz w:val="20"/>
          <w:szCs w:val="20"/>
        </w:rPr>
        <w:t>u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Ngh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 xml:space="preserve"> đ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>nh s</w:t>
      </w:r>
      <w:r w:rsidRPr="00166775">
        <w:rPr>
          <w:rFonts w:ascii="Arial" w:hAnsi="Arial" w:cs="Arial"/>
          <w:i/>
          <w:sz w:val="20"/>
          <w:szCs w:val="20"/>
        </w:rPr>
        <w:t>ố</w:t>
      </w:r>
      <w:r w:rsidRPr="00166775">
        <w:rPr>
          <w:rFonts w:ascii="Arial" w:hAnsi="Arial" w:cs="Arial"/>
          <w:i/>
          <w:sz w:val="20"/>
          <w:szCs w:val="20"/>
        </w:rPr>
        <w:t xml:space="preserve"> 41/2018/NĐ-CP ngày 12 tháng 3 năm 2018 c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>a Chính ph</w:t>
      </w:r>
      <w:r w:rsidRPr="00166775">
        <w:rPr>
          <w:rFonts w:ascii="Arial" w:hAnsi="Arial" w:cs="Arial"/>
          <w:i/>
          <w:sz w:val="20"/>
          <w:szCs w:val="20"/>
        </w:rPr>
        <w:t>ủ</w:t>
      </w:r>
      <w:r w:rsidRPr="00166775">
        <w:rPr>
          <w:rFonts w:ascii="Arial" w:hAnsi="Arial" w:cs="Arial"/>
          <w:i/>
          <w:sz w:val="20"/>
          <w:szCs w:val="20"/>
        </w:rPr>
        <w:t xml:space="preserve"> quy đ</w:t>
      </w:r>
      <w:r w:rsidRPr="00166775">
        <w:rPr>
          <w:rFonts w:ascii="Arial" w:hAnsi="Arial" w:cs="Arial"/>
          <w:i/>
          <w:sz w:val="20"/>
          <w:szCs w:val="20"/>
        </w:rPr>
        <w:t>ị</w:t>
      </w:r>
      <w:r w:rsidRPr="00166775">
        <w:rPr>
          <w:rFonts w:ascii="Arial" w:hAnsi="Arial" w:cs="Arial"/>
          <w:i/>
          <w:sz w:val="20"/>
          <w:szCs w:val="20"/>
        </w:rPr>
        <w:t>nh x</w:t>
      </w:r>
      <w:r w:rsidRPr="00166775">
        <w:rPr>
          <w:rFonts w:ascii="Arial" w:hAnsi="Arial" w:cs="Arial"/>
          <w:i/>
          <w:sz w:val="20"/>
          <w:szCs w:val="20"/>
        </w:rPr>
        <w:t>ử</w:t>
      </w:r>
      <w:r w:rsidRPr="00166775">
        <w:rPr>
          <w:rFonts w:ascii="Arial" w:hAnsi="Arial" w:cs="Arial"/>
          <w:i/>
          <w:sz w:val="20"/>
          <w:szCs w:val="20"/>
        </w:rPr>
        <w:t xml:space="preserve">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t vi ph</w:t>
      </w:r>
      <w:r w:rsidRPr="00166775">
        <w:rPr>
          <w:rFonts w:ascii="Arial" w:hAnsi="Arial" w:cs="Arial"/>
          <w:i/>
          <w:sz w:val="20"/>
          <w:szCs w:val="20"/>
        </w:rPr>
        <w:t>ạ</w:t>
      </w:r>
      <w:r w:rsidRPr="00166775">
        <w:rPr>
          <w:rFonts w:ascii="Arial" w:hAnsi="Arial" w:cs="Arial"/>
          <w:i/>
          <w:sz w:val="20"/>
          <w:szCs w:val="20"/>
        </w:rPr>
        <w:t>m hành chính trong lĩnh</w:t>
      </w:r>
      <w:r w:rsidRPr="00166775">
        <w:rPr>
          <w:rFonts w:ascii="Arial" w:hAnsi="Arial" w:cs="Arial"/>
          <w:i/>
          <w:sz w:val="20"/>
          <w:szCs w:val="20"/>
        </w:rPr>
        <w:t xml:space="preserve"> v</w:t>
      </w:r>
      <w:r w:rsidRPr="00166775">
        <w:rPr>
          <w:rFonts w:ascii="Arial" w:hAnsi="Arial" w:cs="Arial"/>
          <w:i/>
          <w:sz w:val="20"/>
          <w:szCs w:val="20"/>
        </w:rPr>
        <w:t>ự</w:t>
      </w:r>
      <w:r w:rsidRPr="00166775">
        <w:rPr>
          <w:rFonts w:ascii="Arial" w:hAnsi="Arial" w:cs="Arial"/>
          <w:i/>
          <w:sz w:val="20"/>
          <w:szCs w:val="20"/>
        </w:rPr>
        <w:t>c k</w:t>
      </w:r>
      <w:r w:rsidRPr="00166775">
        <w:rPr>
          <w:rFonts w:ascii="Arial" w:hAnsi="Arial" w:cs="Arial"/>
          <w:i/>
          <w:sz w:val="20"/>
          <w:szCs w:val="20"/>
        </w:rPr>
        <w:t>ế</w:t>
      </w:r>
      <w:r w:rsidRPr="00166775">
        <w:rPr>
          <w:rFonts w:ascii="Arial" w:hAnsi="Arial" w:cs="Arial"/>
          <w:i/>
          <w:sz w:val="20"/>
          <w:szCs w:val="20"/>
        </w:rPr>
        <w:t xml:space="preserve"> toán, ki</w:t>
      </w:r>
      <w:r w:rsidRPr="00166775">
        <w:rPr>
          <w:rFonts w:ascii="Arial" w:hAnsi="Arial" w:cs="Arial"/>
          <w:i/>
          <w:sz w:val="20"/>
          <w:szCs w:val="20"/>
        </w:rPr>
        <w:t>ể</w:t>
      </w:r>
      <w:r w:rsidRPr="00166775">
        <w:rPr>
          <w:rFonts w:ascii="Arial" w:hAnsi="Arial" w:cs="Arial"/>
          <w:i/>
          <w:sz w:val="20"/>
          <w:szCs w:val="20"/>
        </w:rPr>
        <w:t>m toán đ</w:t>
      </w:r>
      <w:r w:rsidRPr="00166775">
        <w:rPr>
          <w:rFonts w:ascii="Arial" w:hAnsi="Arial" w:cs="Arial"/>
          <w:i/>
          <w:sz w:val="20"/>
          <w:szCs w:val="20"/>
        </w:rPr>
        <w:t>ộ</w:t>
      </w:r>
      <w:r w:rsidRPr="00166775">
        <w:rPr>
          <w:rFonts w:ascii="Arial" w:hAnsi="Arial" w:cs="Arial"/>
          <w:i/>
          <w:sz w:val="20"/>
          <w:szCs w:val="20"/>
        </w:rPr>
        <w:t>c l</w:t>
      </w:r>
      <w:r w:rsidRPr="00166775">
        <w:rPr>
          <w:rFonts w:ascii="Arial" w:hAnsi="Arial" w:cs="Arial"/>
          <w:i/>
          <w:sz w:val="20"/>
          <w:szCs w:val="20"/>
        </w:rPr>
        <w:t>ậ</w:t>
      </w:r>
      <w:r w:rsidRPr="00166775">
        <w:rPr>
          <w:rFonts w:ascii="Arial" w:hAnsi="Arial" w:cs="Arial"/>
          <w:i/>
          <w:sz w:val="20"/>
          <w:szCs w:val="20"/>
        </w:rPr>
        <w:t>p.</w:t>
      </w:r>
    </w:p>
    <w:p w14:paraId="1C1C0674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1. 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kho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3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</w:t>
      </w:r>
    </w:p>
    <w:p w14:paraId="7A3056F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“3.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tính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như sau:</w:t>
      </w:r>
    </w:p>
    <w:p w14:paraId="2B8474B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đã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thúc thì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tính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ch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d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m;</w:t>
      </w:r>
    </w:p>
    <w:p w14:paraId="137E01B9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đang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thì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tính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phát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m;</w:t>
      </w:r>
    </w:p>
    <w:p w14:paraId="6414D1F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này,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ch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d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tính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là:</w:t>
      </w:r>
    </w:p>
    <w:p w14:paraId="0DC921E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xong quy trình nghi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p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, yêu c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u công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toán;</w:t>
      </w:r>
    </w:p>
    <w:p w14:paraId="7826042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ch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d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đúng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</w:t>
      </w:r>
      <w:r w:rsidRPr="00166775">
        <w:rPr>
          <w:rFonts w:ascii="Arial" w:hAnsi="Arial" w:cs="Arial"/>
          <w:sz w:val="20"/>
          <w:szCs w:val="20"/>
        </w:rPr>
        <w:t xml:space="preserve">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toán.</w:t>
      </w:r>
    </w:p>
    <w:p w14:paraId="6579AA8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xem xét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đã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thúc hay đang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n, ngoài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căn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c trên đây, cơ quan,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căn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 xml:space="preserve"> vào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và tình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</w:t>
      </w:r>
      <w:r w:rsidRPr="00166775">
        <w:rPr>
          <w:rFonts w:ascii="Arial" w:hAnsi="Arial" w:cs="Arial"/>
          <w:sz w:val="20"/>
          <w:szCs w:val="20"/>
        </w:rPr>
        <w:t xml:space="preserve">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>ng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xác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đã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thúc hay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đang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n.”.</w:t>
      </w:r>
    </w:p>
    <w:p w14:paraId="078FC19B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2. 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các kho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2, kho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3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6</w:t>
      </w:r>
    </w:p>
    <w:p w14:paraId="3103128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“2.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Chương II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là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tr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</w:t>
      </w:r>
      <w:r w:rsidRPr="00166775">
        <w:rPr>
          <w:rFonts w:ascii="Arial" w:hAnsi="Arial" w:cs="Arial"/>
          <w:sz w:val="20"/>
          <w:szCs w:val="20"/>
        </w:rPr>
        <w:t>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1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7;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8;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9;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10;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11;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13;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14;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15;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16;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17;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19;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1,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3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21;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22;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23;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24;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26;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33;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34;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35a là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cá nhân.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có cùng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thì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g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02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cá nhân.</w:t>
      </w:r>
    </w:p>
    <w:p w14:paraId="5DE9A55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các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danh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Chương IV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là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cá nhân. Trong 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bookmarkStart w:id="1" w:name="_GoBack"/>
      <w:bookmarkEnd w:id="1"/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g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02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cá nhân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danh đó.”.</w:t>
      </w:r>
    </w:p>
    <w:p w14:paraId="677A046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lastRenderedPageBreak/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3.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M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>c 8 và 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35a Chương II</w:t>
      </w:r>
    </w:p>
    <w:p w14:paraId="4F08BE69" w14:textId="77777777" w:rsidR="0001079D" w:rsidRPr="00166775" w:rsidRDefault="00B91103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“M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>c 8</w:t>
      </w:r>
    </w:p>
    <w:p w14:paraId="77DB7872" w14:textId="00022F22" w:rsidR="0001079D" w:rsidRPr="00166775" w:rsidRDefault="00B91103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HÀNH VI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QUY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V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 xml:space="preserve">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R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TI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N;</w:t>
      </w:r>
      <w:r w:rsid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KH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NG B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;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</w:t>
      </w:r>
      <w:r w:rsidRPr="00166775">
        <w:rPr>
          <w:rFonts w:ascii="Arial" w:hAnsi="Arial" w:cs="Arial"/>
          <w:b/>
          <w:sz w:val="20"/>
          <w:szCs w:val="20"/>
        </w:rPr>
        <w:t xml:space="preserve">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PH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BI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>N VŨ KHÍ 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Y DI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T HÀNG LO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 xml:space="preserve">T TRONG KINH DOANH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D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CH V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 xml:space="preserve">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39A8B5C9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35a.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hành vi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quy đ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nh v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 xml:space="preserve">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r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ti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n;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kh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ng b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; phòng, ch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>ng tài tr</w:t>
      </w:r>
      <w:r w:rsidRPr="00166775">
        <w:rPr>
          <w:rFonts w:ascii="Arial" w:hAnsi="Arial" w:cs="Arial"/>
          <w:b/>
          <w:sz w:val="20"/>
          <w:szCs w:val="20"/>
        </w:rPr>
        <w:t>ợ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bi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>n vũ khí 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y di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t hàng lo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trong kinh doanh d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>ch v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 xml:space="preserve"> </w:t>
      </w:r>
      <w:r w:rsidRPr="00166775">
        <w:rPr>
          <w:rFonts w:ascii="Arial" w:hAnsi="Arial" w:cs="Arial"/>
          <w:b/>
          <w:sz w:val="20"/>
          <w:szCs w:val="20"/>
        </w:rPr>
        <w:t>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1852A9F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hàng;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đánh giá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ro;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phân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khách hàng theo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</w:t>
      </w:r>
    </w:p>
    <w:p w14:paraId="364F9A0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26D435C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</w:t>
      </w:r>
      <w:r w:rsidRPr="00166775">
        <w:rPr>
          <w:rFonts w:ascii="Arial" w:hAnsi="Arial" w:cs="Arial"/>
          <w:sz w:val="20"/>
          <w:szCs w:val="20"/>
        </w:rPr>
        <w:t xml:space="preserve"> không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hàng; không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t; không xác minh thông tin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hàng;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t; xác minh thông tin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362051E9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 không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danh sách đen;</w:t>
      </w:r>
    </w:p>
    <w:p w14:paraId="10F3351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 không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đánh giá, không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đánh giá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nh </w:t>
      </w:r>
      <w:r w:rsidRPr="00166775">
        <w:rPr>
          <w:rFonts w:ascii="Arial" w:hAnsi="Arial" w:cs="Arial"/>
          <w:sz w:val="20"/>
          <w:szCs w:val="20"/>
        </w:rPr>
        <w:t>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5D482D8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Hành vi không báo cáo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không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đánh giá, c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3506CDFC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 xml:space="preserve">i </w:t>
      </w:r>
      <w:r w:rsidRPr="00166775">
        <w:rPr>
          <w:rFonts w:ascii="Arial" w:hAnsi="Arial" w:cs="Arial"/>
          <w:sz w:val="20"/>
          <w:szCs w:val="20"/>
        </w:rPr>
        <w:t>hành vi không xây d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không ban hành quy trình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ro, không phân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khách hàng theo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xây d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ng quy trình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ro, phân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khách hàng theo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r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i ro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</w:t>
      </w:r>
      <w:r w:rsidRPr="00166775">
        <w:rPr>
          <w:rFonts w:ascii="Arial" w:hAnsi="Arial" w:cs="Arial"/>
          <w:sz w:val="20"/>
          <w:szCs w:val="20"/>
        </w:rPr>
        <w:t>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61191CC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 xml:space="preserve">t; </w:t>
      </w:r>
      <w:r w:rsidRPr="00166775">
        <w:rPr>
          <w:rFonts w:ascii="Arial" w:hAnsi="Arial" w:cs="Arial"/>
          <w:sz w:val="20"/>
          <w:szCs w:val="20"/>
        </w:rPr>
        <w:t>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>,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và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o đ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m bí m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</w:t>
      </w:r>
    </w:p>
    <w:p w14:paraId="1B70FAA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584C604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trong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 xml:space="preserve">c </w:t>
      </w:r>
      <w:r w:rsidRPr="00166775">
        <w:rPr>
          <w:rFonts w:ascii="Arial" w:hAnsi="Arial" w:cs="Arial"/>
          <w:sz w:val="20"/>
          <w:szCs w:val="20"/>
        </w:rPr>
        <w:t>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soát,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toán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0517A4C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phân công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không đăng ký phân công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m, cán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trách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ng tài </w:t>
      </w:r>
      <w:r w:rsidRPr="00166775">
        <w:rPr>
          <w:rFonts w:ascii="Arial" w:hAnsi="Arial" w:cs="Arial"/>
          <w:sz w:val="20"/>
          <w:szCs w:val="20"/>
        </w:rPr>
        <w:t>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7718ECE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đào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o, b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i dư</w:t>
      </w:r>
      <w:r w:rsidRPr="00166775">
        <w:rPr>
          <w:rFonts w:ascii="Arial" w:hAnsi="Arial" w:cs="Arial"/>
          <w:sz w:val="20"/>
          <w:szCs w:val="20"/>
        </w:rPr>
        <w:t>ỡ</w:t>
      </w:r>
      <w:r w:rsidRPr="00166775">
        <w:rPr>
          <w:rFonts w:ascii="Arial" w:hAnsi="Arial" w:cs="Arial"/>
          <w:sz w:val="20"/>
          <w:szCs w:val="20"/>
        </w:rPr>
        <w:t>ng, tuy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n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124499B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30.000.000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không ban hành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ban hành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không đúng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6CC9751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079EDAD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k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p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743F178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Không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không đ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y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cáo;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không đúng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i 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3376FF5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tuân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o m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thông tin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khách hàng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thông tin, h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 xml:space="preserve"> sơ, tài li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u, báo cáo liê</w:t>
      </w:r>
      <w:r w:rsidRPr="00166775">
        <w:rPr>
          <w:rFonts w:ascii="Arial" w:hAnsi="Arial" w:cs="Arial"/>
          <w:sz w:val="20"/>
          <w:szCs w:val="20"/>
        </w:rPr>
        <w:t>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các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ph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i báo cáo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772FAB4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khách hàng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 xml:space="preserve">c ngoài là cá nhân có 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hư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chính tr</w:t>
      </w:r>
      <w:r w:rsidRPr="00166775">
        <w:rPr>
          <w:rFonts w:ascii="Arial" w:hAnsi="Arial" w:cs="Arial"/>
          <w:sz w:val="20"/>
          <w:szCs w:val="20"/>
        </w:rPr>
        <w:t>ị</w:t>
      </w:r>
    </w:p>
    <w:p w14:paraId="7ACA1BA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không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các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khách hàng là cá nhân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 xml:space="preserve">c ngoài có 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hư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chính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n.</w:t>
      </w:r>
    </w:p>
    <w:p w14:paraId="3694C33E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4.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giám s</w:t>
      </w:r>
      <w:r w:rsidRPr="00166775">
        <w:rPr>
          <w:rFonts w:ascii="Arial" w:hAnsi="Arial" w:cs="Arial"/>
          <w:sz w:val="20"/>
          <w:szCs w:val="20"/>
        </w:rPr>
        <w:t>át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</w:t>
      </w:r>
    </w:p>
    <w:p w14:paraId="0413040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20.000.000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30.000.000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không giám sát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n.</w:t>
      </w:r>
    </w:p>
    <w:p w14:paraId="688F6174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5.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n,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đáng n</w:t>
      </w:r>
      <w:r w:rsidRPr="00166775">
        <w:rPr>
          <w:rFonts w:ascii="Arial" w:hAnsi="Arial" w:cs="Arial"/>
          <w:sz w:val="20"/>
          <w:szCs w:val="20"/>
        </w:rPr>
        <w:t>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, báo cáo hành vi nghi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</w:t>
      </w:r>
    </w:p>
    <w:p w14:paraId="5F9A8D3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8.000.000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12.000.000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472823F0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yêu c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u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tính đ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 xml:space="preserve">y </w:t>
      </w:r>
      <w:r w:rsidRPr="00166775">
        <w:rPr>
          <w:rFonts w:ascii="Arial" w:hAnsi="Arial" w:cs="Arial"/>
          <w:sz w:val="20"/>
          <w:szCs w:val="20"/>
        </w:rPr>
        <w:t>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, chính xác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thông tin báo cáo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th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 xml:space="preserve"> ba tr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 xml:space="preserve"> lên trong năm tài chính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69F7876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G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i báo c</w:t>
      </w:r>
      <w:r w:rsidRPr="00166775">
        <w:rPr>
          <w:rFonts w:ascii="Arial" w:hAnsi="Arial" w:cs="Arial"/>
          <w:sz w:val="20"/>
          <w:szCs w:val="20"/>
        </w:rPr>
        <w:t>áo không đ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y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thông tin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đáng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58134740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</w:t>
      </w:r>
      <w:r w:rsidRPr="00166775">
        <w:rPr>
          <w:rFonts w:ascii="Arial" w:hAnsi="Arial" w:cs="Arial"/>
          <w:sz w:val="20"/>
          <w:szCs w:val="20"/>
        </w:rPr>
        <w:t xml:space="preserve">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76A1363E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l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 ph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i báo cáo;</w:t>
      </w:r>
    </w:p>
    <w:p w14:paraId="21AADA1E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báo cáo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đáng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t;</w:t>
      </w:r>
    </w:p>
    <w:p w14:paraId="327E727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báo cáo khi có nghi ng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 xml:space="preserve"> khách hàng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giao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a khách </w:t>
      </w:r>
      <w:r w:rsidRPr="00166775">
        <w:rPr>
          <w:rFonts w:ascii="Arial" w:hAnsi="Arial" w:cs="Arial"/>
          <w:sz w:val="20"/>
          <w:szCs w:val="20"/>
        </w:rPr>
        <w:t>hàng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khách hàng n</w:t>
      </w:r>
      <w:r w:rsidRPr="00166775">
        <w:rPr>
          <w:rFonts w:ascii="Arial" w:hAnsi="Arial" w:cs="Arial"/>
          <w:sz w:val="20"/>
          <w:szCs w:val="20"/>
        </w:rPr>
        <w:t>ằ</w:t>
      </w:r>
      <w:r w:rsidRPr="00166775">
        <w:rPr>
          <w:rFonts w:ascii="Arial" w:hAnsi="Arial" w:cs="Arial"/>
          <w:sz w:val="20"/>
          <w:szCs w:val="20"/>
        </w:rPr>
        <w:t>m trong danh sách đen, danh sách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</w:t>
      </w:r>
      <w:r w:rsidRPr="00166775">
        <w:rPr>
          <w:rFonts w:ascii="Arial" w:hAnsi="Arial" w:cs="Arial"/>
          <w:sz w:val="20"/>
          <w:szCs w:val="20"/>
        </w:rPr>
        <w:t>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t.</w:t>
      </w:r>
    </w:p>
    <w:p w14:paraId="37F9F03C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6.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các hành vi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m trong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</w:p>
    <w:p w14:paraId="0A81FFB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15.000.000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tr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 xml:space="preserve">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thông tin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công tác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;</w:t>
      </w:r>
    </w:p>
    <w:p w14:paraId="383B1799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30.000.000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hành vi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trái phép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t, séc, công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 khác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công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lưu tr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 xml:space="preserve">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và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thanh toán cho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th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hư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4E050A7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 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i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trong các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sau đây:</w:t>
      </w:r>
    </w:p>
    <w:p w14:paraId="326E844B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tham gia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o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n,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giúp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hành vi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54D5F2A8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Thi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p, duy trì quan h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 kinh doanh v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ngân hàng v</w:t>
      </w:r>
      <w:r w:rsidRPr="00166775">
        <w:rPr>
          <w:rFonts w:ascii="Arial" w:hAnsi="Arial" w:cs="Arial"/>
          <w:sz w:val="20"/>
          <w:szCs w:val="20"/>
        </w:rPr>
        <w:t>ỏ</w:t>
      </w:r>
      <w:r w:rsidRPr="00166775">
        <w:rPr>
          <w:rFonts w:ascii="Arial" w:hAnsi="Arial" w:cs="Arial"/>
          <w:sz w:val="20"/>
          <w:szCs w:val="20"/>
        </w:rPr>
        <w:t xml:space="preserve"> b</w:t>
      </w:r>
      <w:r w:rsidRPr="00166775">
        <w:rPr>
          <w:rFonts w:ascii="Arial" w:hAnsi="Arial" w:cs="Arial"/>
          <w:sz w:val="20"/>
          <w:szCs w:val="20"/>
        </w:rPr>
        <w:t>ọ</w:t>
      </w:r>
      <w:r w:rsidRPr="00166775">
        <w:rPr>
          <w:rFonts w:ascii="Arial" w:hAnsi="Arial" w:cs="Arial"/>
          <w:sz w:val="20"/>
          <w:szCs w:val="20"/>
        </w:rPr>
        <w:t>c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2ECB06D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Không t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giác hành vi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3DD1A6CB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L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i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ng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>ng lưu thông, phong t</w:t>
      </w:r>
      <w:r w:rsidRPr="00166775">
        <w:rPr>
          <w:rFonts w:ascii="Arial" w:hAnsi="Arial" w:cs="Arial"/>
          <w:sz w:val="20"/>
          <w:szCs w:val="20"/>
        </w:rPr>
        <w:t>ỏ</w:t>
      </w:r>
      <w:r w:rsidRPr="00166775">
        <w:rPr>
          <w:rFonts w:ascii="Arial" w:hAnsi="Arial" w:cs="Arial"/>
          <w:sz w:val="20"/>
          <w:szCs w:val="20"/>
        </w:rPr>
        <w:t>a, niêm phong,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gi</w:t>
      </w:r>
      <w:r w:rsidRPr="00166775">
        <w:rPr>
          <w:rFonts w:ascii="Arial" w:hAnsi="Arial" w:cs="Arial"/>
          <w:sz w:val="20"/>
          <w:szCs w:val="20"/>
        </w:rPr>
        <w:t>ữ</w:t>
      </w:r>
      <w:r w:rsidRPr="00166775">
        <w:rPr>
          <w:rFonts w:ascii="Arial" w:hAnsi="Arial" w:cs="Arial"/>
          <w:sz w:val="20"/>
          <w:szCs w:val="20"/>
        </w:rPr>
        <w:t>,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s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</w:t>
      </w:r>
      <w:r w:rsidRPr="00166775">
        <w:rPr>
          <w:rFonts w:ascii="Arial" w:hAnsi="Arial" w:cs="Arial"/>
          <w:sz w:val="20"/>
          <w:szCs w:val="20"/>
        </w:rPr>
        <w:t xml:space="preserve">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xâm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l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i ích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c,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l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i ích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pháp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cơ quan,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;</w:t>
      </w:r>
    </w:p>
    <w:p w14:paraId="2EF880EE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Tr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p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gián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p cung c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p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n, tài s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n, ngu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 tài chính, ngu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 l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kinh t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,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tài chín</w:t>
      </w:r>
      <w:r w:rsidRPr="00166775">
        <w:rPr>
          <w:rFonts w:ascii="Arial" w:hAnsi="Arial" w:cs="Arial"/>
          <w:sz w:val="20"/>
          <w:szCs w:val="20"/>
        </w:rPr>
        <w:t>h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khác cho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liên quan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,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mà chưa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truy c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hình s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.</w:t>
      </w:r>
    </w:p>
    <w:p w14:paraId="0E76F35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7.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có hành vi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v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r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n;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kh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; phòng, ch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ng tài tr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bi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vũ khí 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y di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hàng lo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trong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chưa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thì b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340/2025/NĐ-CP ngày 25 tháng 12 năm 2025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 và ngân hàng.”.</w:t>
      </w:r>
    </w:p>
    <w:p w14:paraId="04632CE0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4. S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>a đ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>i, b</w:t>
      </w:r>
      <w:r w:rsidRPr="00166775">
        <w:rPr>
          <w:rFonts w:ascii="Arial" w:hAnsi="Arial" w:cs="Arial"/>
          <w:b/>
          <w:sz w:val="20"/>
          <w:szCs w:val="20"/>
        </w:rPr>
        <w:t>ổ</w:t>
      </w:r>
      <w:r w:rsidRPr="00166775">
        <w:rPr>
          <w:rFonts w:ascii="Arial" w:hAnsi="Arial" w:cs="Arial"/>
          <w:b/>
          <w:sz w:val="20"/>
          <w:szCs w:val="20"/>
        </w:rPr>
        <w:t xml:space="preserve"> sung Chương IV</w:t>
      </w:r>
    </w:p>
    <w:p w14:paraId="6BBD4B0A" w14:textId="77777777" w:rsidR="0001079D" w:rsidRPr="00166775" w:rsidRDefault="00B91103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“Chương IV</w:t>
      </w:r>
    </w:p>
    <w:p w14:paraId="57F4AB47" w14:textId="77777777" w:rsidR="0001079D" w:rsidRPr="00166775" w:rsidRDefault="00B91103" w:rsidP="0016677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L</w:t>
      </w:r>
      <w:r w:rsidRPr="00166775">
        <w:rPr>
          <w:rFonts w:ascii="Arial" w:hAnsi="Arial" w:cs="Arial"/>
          <w:b/>
          <w:sz w:val="20"/>
          <w:szCs w:val="20"/>
        </w:rPr>
        <w:t>Ậ</w:t>
      </w:r>
      <w:r w:rsidRPr="00166775">
        <w:rPr>
          <w:rFonts w:ascii="Arial" w:hAnsi="Arial" w:cs="Arial"/>
          <w:b/>
          <w:sz w:val="20"/>
          <w:szCs w:val="20"/>
        </w:rPr>
        <w:t>P BIÊN B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N,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 xml:space="preserve">M </w:t>
      </w:r>
      <w:r w:rsidRPr="00166775">
        <w:rPr>
          <w:rFonts w:ascii="Arial" w:hAnsi="Arial" w:cs="Arial"/>
          <w:sz w:val="20"/>
          <w:szCs w:val="20"/>
        </w:rPr>
        <w:br/>
      </w:r>
      <w:r w:rsidRPr="00166775">
        <w:rPr>
          <w:rFonts w:ascii="Arial" w:hAnsi="Arial" w:cs="Arial"/>
          <w:b/>
          <w:sz w:val="20"/>
          <w:szCs w:val="20"/>
        </w:rPr>
        <w:t>HÀNH CHÍNH TRONG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605BAB5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69.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l</w:t>
      </w:r>
      <w:r w:rsidRPr="00166775">
        <w:rPr>
          <w:rFonts w:ascii="Arial" w:hAnsi="Arial" w:cs="Arial"/>
          <w:b/>
          <w:sz w:val="20"/>
          <w:szCs w:val="20"/>
        </w:rPr>
        <w:t>ậ</w:t>
      </w:r>
      <w:r w:rsidRPr="00166775">
        <w:rPr>
          <w:rFonts w:ascii="Arial" w:hAnsi="Arial" w:cs="Arial"/>
          <w:b/>
          <w:sz w:val="20"/>
          <w:szCs w:val="20"/>
        </w:rPr>
        <w:t>p biên b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trong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k</w:t>
      </w:r>
      <w:r w:rsidRPr="00166775">
        <w:rPr>
          <w:rFonts w:ascii="Arial" w:hAnsi="Arial" w:cs="Arial"/>
          <w:b/>
          <w:sz w:val="20"/>
          <w:szCs w:val="20"/>
        </w:rPr>
        <w:t>ế</w:t>
      </w:r>
      <w:r w:rsidRPr="00166775">
        <w:rPr>
          <w:rFonts w:ascii="Arial" w:hAnsi="Arial" w:cs="Arial"/>
          <w:b/>
          <w:sz w:val="20"/>
          <w:szCs w:val="20"/>
        </w:rPr>
        <w:t xml:space="preserve"> toán</w:t>
      </w:r>
    </w:p>
    <w:p w14:paraId="37C82B2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biên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n </w:t>
      </w:r>
      <w:r w:rsidRPr="00166775">
        <w:rPr>
          <w:rFonts w:ascii="Arial" w:hAnsi="Arial" w:cs="Arial"/>
          <w:sz w:val="20"/>
          <w:szCs w:val="20"/>
        </w:rPr>
        <w:t>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g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m:</w:t>
      </w:r>
    </w:p>
    <w:p w14:paraId="152D34A4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249428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Công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viên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và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l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lư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ng Quân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i nhân dân, Công an nhân dân đang thi hành công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, </w:t>
      </w:r>
      <w:r w:rsidRPr="00166775">
        <w:rPr>
          <w:rFonts w:ascii="Arial" w:hAnsi="Arial" w:cs="Arial"/>
          <w:sz w:val="20"/>
          <w:szCs w:val="20"/>
        </w:rPr>
        <w:t>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cơ quan, ngư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n.</w:t>
      </w:r>
    </w:p>
    <w:p w14:paraId="4F894147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70.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th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 xml:space="preserve"> trư</w:t>
      </w:r>
      <w:r w:rsidRPr="00166775">
        <w:rPr>
          <w:rFonts w:ascii="Arial" w:hAnsi="Arial" w:cs="Arial"/>
          <w:b/>
          <w:sz w:val="20"/>
          <w:szCs w:val="20"/>
        </w:rPr>
        <w:t>ở</w:t>
      </w:r>
      <w:r w:rsidRPr="00166775">
        <w:rPr>
          <w:rFonts w:ascii="Arial" w:hAnsi="Arial" w:cs="Arial"/>
          <w:b/>
          <w:sz w:val="20"/>
          <w:szCs w:val="20"/>
        </w:rPr>
        <w:t>ng cơ quan th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n nhi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m v</w:t>
      </w:r>
      <w:r w:rsidRPr="00166775">
        <w:rPr>
          <w:rFonts w:ascii="Arial" w:hAnsi="Arial" w:cs="Arial"/>
          <w:b/>
          <w:sz w:val="20"/>
          <w:szCs w:val="20"/>
        </w:rPr>
        <w:t>ụ</w:t>
      </w:r>
      <w:r w:rsidRPr="00166775">
        <w:rPr>
          <w:rFonts w:ascii="Arial" w:hAnsi="Arial" w:cs="Arial"/>
          <w:b/>
          <w:sz w:val="20"/>
          <w:szCs w:val="20"/>
        </w:rPr>
        <w:t xml:space="preserve"> qu</w:t>
      </w:r>
      <w:r w:rsidRPr="00166775">
        <w:rPr>
          <w:rFonts w:ascii="Arial" w:hAnsi="Arial" w:cs="Arial"/>
          <w:b/>
          <w:sz w:val="20"/>
          <w:szCs w:val="20"/>
        </w:rPr>
        <w:t>ả</w:t>
      </w:r>
      <w:r w:rsidRPr="00166775">
        <w:rPr>
          <w:rFonts w:ascii="Arial" w:hAnsi="Arial" w:cs="Arial"/>
          <w:b/>
          <w:sz w:val="20"/>
          <w:szCs w:val="20"/>
        </w:rPr>
        <w:t>n lý nhà nư</w:t>
      </w:r>
      <w:r w:rsidRPr="00166775">
        <w:rPr>
          <w:rFonts w:ascii="Arial" w:hAnsi="Arial" w:cs="Arial"/>
          <w:b/>
          <w:sz w:val="20"/>
          <w:szCs w:val="20"/>
        </w:rPr>
        <w:t>ớ</w:t>
      </w:r>
      <w:r w:rsidRPr="00166775">
        <w:rPr>
          <w:rFonts w:ascii="Arial" w:hAnsi="Arial" w:cs="Arial"/>
          <w:b/>
          <w:sz w:val="20"/>
          <w:szCs w:val="20"/>
        </w:rPr>
        <w:t>c theo chuyên ngành, lĩnh v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và m</w:t>
      </w:r>
      <w:r w:rsidRPr="00166775">
        <w:rPr>
          <w:rFonts w:ascii="Arial" w:hAnsi="Arial" w:cs="Arial"/>
          <w:b/>
          <w:sz w:val="20"/>
          <w:szCs w:val="20"/>
        </w:rPr>
        <w:t>ộ</w:t>
      </w:r>
      <w:r w:rsidRPr="00166775">
        <w:rPr>
          <w:rFonts w:ascii="Arial" w:hAnsi="Arial" w:cs="Arial"/>
          <w:b/>
          <w:sz w:val="20"/>
          <w:szCs w:val="20"/>
        </w:rPr>
        <w:t>t s</w:t>
      </w:r>
      <w:r w:rsidRPr="00166775">
        <w:rPr>
          <w:rFonts w:ascii="Arial" w:hAnsi="Arial" w:cs="Arial"/>
          <w:b/>
          <w:sz w:val="20"/>
          <w:szCs w:val="20"/>
        </w:rPr>
        <w:t>ố</w:t>
      </w:r>
      <w:r w:rsidRPr="00166775">
        <w:rPr>
          <w:rFonts w:ascii="Arial" w:hAnsi="Arial" w:cs="Arial"/>
          <w:b/>
          <w:sz w:val="20"/>
          <w:szCs w:val="20"/>
        </w:rPr>
        <w:t xml:space="preserve"> ch</w:t>
      </w:r>
      <w:r w:rsidRPr="00166775">
        <w:rPr>
          <w:rFonts w:ascii="Arial" w:hAnsi="Arial" w:cs="Arial"/>
          <w:b/>
          <w:sz w:val="20"/>
          <w:szCs w:val="20"/>
        </w:rPr>
        <w:t>ứ</w:t>
      </w:r>
      <w:r w:rsidRPr="00166775">
        <w:rPr>
          <w:rFonts w:ascii="Arial" w:hAnsi="Arial" w:cs="Arial"/>
          <w:b/>
          <w:sz w:val="20"/>
          <w:szCs w:val="20"/>
        </w:rPr>
        <w:t>c danh khác</w:t>
      </w:r>
    </w:p>
    <w:p w14:paraId="5F9A28A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 xml:space="preserve">1. Giám </w:t>
      </w:r>
      <w:r w:rsidRPr="00166775">
        <w:rPr>
          <w:rFonts w:ascii="Arial" w:hAnsi="Arial" w:cs="Arial"/>
          <w:sz w:val="20"/>
          <w:szCs w:val="20"/>
        </w:rPr>
        <w:t>đ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>c S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 xml:space="preserve"> Tài chính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38162958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453CE1EC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4BB3E31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4F1CBB3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 xml:space="preserve">y </w:t>
      </w:r>
      <w:r w:rsidRPr="00166775">
        <w:rPr>
          <w:rFonts w:ascii="Arial" w:hAnsi="Arial" w:cs="Arial"/>
          <w:sz w:val="20"/>
          <w:szCs w:val="20"/>
        </w:rPr>
        <w:t>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1C46BAC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6077DB3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lý, giám sát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toán -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Tài chính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</w:t>
      </w:r>
      <w:r w:rsidRPr="00166775">
        <w:rPr>
          <w:rFonts w:ascii="Arial" w:hAnsi="Arial" w:cs="Arial"/>
          <w:sz w:val="20"/>
          <w:szCs w:val="20"/>
        </w:rPr>
        <w:t xml:space="preserve">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71221ABB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44686FE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759976A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1B6B174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</w:t>
      </w:r>
      <w:r w:rsidRPr="00166775">
        <w:rPr>
          <w:rFonts w:ascii="Arial" w:hAnsi="Arial" w:cs="Arial"/>
          <w:sz w:val="20"/>
          <w:szCs w:val="20"/>
        </w:rPr>
        <w:t>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7667DFDE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A043DE4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tra do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lý nhà</w:t>
      </w:r>
      <w:r w:rsidRPr="00166775">
        <w:rPr>
          <w:rFonts w:ascii="Arial" w:hAnsi="Arial" w:cs="Arial"/>
          <w:sz w:val="20"/>
          <w:szCs w:val="20"/>
        </w:rPr>
        <w:t xml:space="preserve">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1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này.</w:t>
      </w:r>
    </w:p>
    <w:p w14:paraId="5FC6F937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ki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tra do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ng,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có th</w:t>
      </w:r>
      <w:r w:rsidRPr="00166775">
        <w:rPr>
          <w:rFonts w:ascii="Arial" w:hAnsi="Arial" w:cs="Arial"/>
          <w:sz w:val="20"/>
          <w:szCs w:val="20"/>
        </w:rPr>
        <w:t>ẩ</w:t>
      </w:r>
      <w:r w:rsidRPr="00166775">
        <w:rPr>
          <w:rFonts w:ascii="Arial" w:hAnsi="Arial" w:cs="Arial"/>
          <w:sz w:val="20"/>
          <w:szCs w:val="20"/>
        </w:rPr>
        <w:t>m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2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này.</w:t>
      </w:r>
    </w:p>
    <w:p w14:paraId="6F53A55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70a.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</w:t>
      </w:r>
      <w:r w:rsidRPr="00166775">
        <w:rPr>
          <w:rFonts w:ascii="Arial" w:hAnsi="Arial" w:cs="Arial"/>
          <w:b/>
          <w:sz w:val="20"/>
          <w:szCs w:val="20"/>
        </w:rPr>
        <w:t>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Thanh tra Ngân hàng Nhà nư</w:t>
      </w:r>
      <w:r w:rsidRPr="00166775">
        <w:rPr>
          <w:rFonts w:ascii="Arial" w:hAnsi="Arial" w:cs="Arial"/>
          <w:b/>
          <w:sz w:val="20"/>
          <w:szCs w:val="20"/>
        </w:rPr>
        <w:t>ớ</w:t>
      </w:r>
      <w:r w:rsidRPr="00166775">
        <w:rPr>
          <w:rFonts w:ascii="Arial" w:hAnsi="Arial" w:cs="Arial"/>
          <w:b/>
          <w:sz w:val="20"/>
          <w:szCs w:val="20"/>
        </w:rPr>
        <w:t>c Vi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t Nam</w:t>
      </w:r>
    </w:p>
    <w:p w14:paraId="76FA1BAB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Thanh tra viên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Nam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74046A1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8665DF3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3A2F27A4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t, phư</w:t>
      </w:r>
      <w:r w:rsidRPr="00166775">
        <w:rPr>
          <w:rFonts w:ascii="Arial" w:hAnsi="Arial" w:cs="Arial"/>
          <w:sz w:val="20"/>
          <w:szCs w:val="20"/>
        </w:rPr>
        <w:t>ơng ti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có giá tr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không vư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t quá 02 l</w:t>
      </w:r>
      <w:r w:rsidRPr="00166775">
        <w:rPr>
          <w:rFonts w:ascii="Arial" w:hAnsi="Arial" w:cs="Arial"/>
          <w:sz w:val="20"/>
          <w:szCs w:val="20"/>
        </w:rPr>
        <w:t>ầ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>m b kho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này.</w:t>
      </w:r>
    </w:p>
    <w:p w14:paraId="3E109BC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thanh tra do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khu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1E356CB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</w:t>
      </w:r>
      <w:r w:rsidRPr="00166775">
        <w:rPr>
          <w:rFonts w:ascii="Arial" w:hAnsi="Arial" w:cs="Arial"/>
          <w:sz w:val="20"/>
          <w:szCs w:val="20"/>
        </w:rPr>
        <w:t>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0298D4F8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3C2EE6D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t, phương ti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6E59A6A8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05B7DDC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3.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khu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</w:t>
      </w:r>
      <w:r w:rsidRPr="00166775">
        <w:rPr>
          <w:rFonts w:ascii="Arial" w:hAnsi="Arial" w:cs="Arial"/>
          <w:sz w:val="20"/>
          <w:szCs w:val="20"/>
        </w:rPr>
        <w:t>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50F81A17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590DD4E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40.000.000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02AD5D0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4FD7082C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</w:t>
      </w:r>
      <w:r w:rsidRPr="00166775">
        <w:rPr>
          <w:rFonts w:ascii="Arial" w:hAnsi="Arial" w:cs="Arial"/>
          <w:sz w:val="20"/>
          <w:szCs w:val="20"/>
        </w:rPr>
        <w:t>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07615B07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3CEDDA4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4.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Nam;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đoàn thanh tra do Chánh Thanh tra Ngân hàng Nhà nư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t Nam thành l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p</w:t>
      </w:r>
      <w:r w:rsidRPr="00166775">
        <w:rPr>
          <w:rFonts w:ascii="Arial" w:hAnsi="Arial" w:cs="Arial"/>
          <w:sz w:val="20"/>
          <w:szCs w:val="20"/>
        </w:rPr>
        <w:t xml:space="preserve">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n:</w:t>
      </w:r>
    </w:p>
    <w:p w14:paraId="0BDAF118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95FD46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1C642D1E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4A23862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</w:t>
      </w:r>
      <w:r w:rsidRPr="00166775">
        <w:rPr>
          <w:rFonts w:ascii="Arial" w:hAnsi="Arial" w:cs="Arial"/>
          <w:sz w:val="20"/>
          <w:szCs w:val="20"/>
        </w:rPr>
        <w:t>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4FDD7C99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7F01E6E6" w14:textId="03AB8DA1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71. Th</w:t>
      </w:r>
      <w:r w:rsidRPr="00166775">
        <w:rPr>
          <w:rFonts w:ascii="Arial" w:hAnsi="Arial" w:cs="Arial"/>
          <w:b/>
          <w:sz w:val="20"/>
          <w:szCs w:val="20"/>
        </w:rPr>
        <w:t>ẩ</w:t>
      </w:r>
      <w:r w:rsidRPr="00166775">
        <w:rPr>
          <w:rFonts w:ascii="Arial" w:hAnsi="Arial" w:cs="Arial"/>
          <w:b/>
          <w:sz w:val="20"/>
          <w:szCs w:val="20"/>
        </w:rPr>
        <w:t>m quy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n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t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c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>a Ch</w:t>
      </w:r>
      <w:r w:rsidRPr="00166775">
        <w:rPr>
          <w:rFonts w:ascii="Arial" w:hAnsi="Arial" w:cs="Arial"/>
          <w:b/>
          <w:sz w:val="20"/>
          <w:szCs w:val="20"/>
        </w:rPr>
        <w:t>ủ</w:t>
      </w:r>
      <w:r w:rsidRPr="00166775">
        <w:rPr>
          <w:rFonts w:ascii="Arial" w:hAnsi="Arial" w:cs="Arial"/>
          <w:b/>
          <w:sz w:val="20"/>
          <w:szCs w:val="20"/>
        </w:rPr>
        <w:t xml:space="preserve"> t</w:t>
      </w:r>
      <w:r w:rsidRPr="00166775">
        <w:rPr>
          <w:rFonts w:ascii="Arial" w:hAnsi="Arial" w:cs="Arial"/>
          <w:b/>
          <w:sz w:val="20"/>
          <w:szCs w:val="20"/>
        </w:rPr>
        <w:t>ị</w:t>
      </w:r>
      <w:r w:rsidRPr="00166775">
        <w:rPr>
          <w:rFonts w:ascii="Arial" w:hAnsi="Arial" w:cs="Arial"/>
          <w:b/>
          <w:sz w:val="20"/>
          <w:szCs w:val="20"/>
        </w:rPr>
        <w:t xml:space="preserve">ch </w:t>
      </w:r>
      <w:r w:rsidR="00166775">
        <w:rPr>
          <w:rFonts w:ascii="Arial" w:hAnsi="Arial" w:cs="Arial"/>
          <w:b/>
          <w:sz w:val="20"/>
          <w:szCs w:val="20"/>
        </w:rPr>
        <w:t>Ủy ban</w:t>
      </w:r>
      <w:r w:rsidRPr="00166775">
        <w:rPr>
          <w:rFonts w:ascii="Arial" w:hAnsi="Arial" w:cs="Arial"/>
          <w:b/>
          <w:sz w:val="20"/>
          <w:szCs w:val="20"/>
        </w:rPr>
        <w:t xml:space="preserve"> nhân dân các c</w:t>
      </w:r>
      <w:r w:rsidRPr="00166775">
        <w:rPr>
          <w:rFonts w:ascii="Arial" w:hAnsi="Arial" w:cs="Arial"/>
          <w:b/>
          <w:sz w:val="20"/>
          <w:szCs w:val="20"/>
        </w:rPr>
        <w:t>ấ</w:t>
      </w:r>
      <w:r w:rsidRPr="00166775">
        <w:rPr>
          <w:rFonts w:ascii="Arial" w:hAnsi="Arial" w:cs="Arial"/>
          <w:b/>
          <w:sz w:val="20"/>
          <w:szCs w:val="20"/>
        </w:rPr>
        <w:t>p</w:t>
      </w:r>
    </w:p>
    <w:p w14:paraId="07040649" w14:textId="2A955291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Ch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ch </w:t>
      </w:r>
      <w:r w:rsidR="00166775">
        <w:rPr>
          <w:rFonts w:ascii="Arial" w:hAnsi="Arial" w:cs="Arial"/>
          <w:sz w:val="20"/>
          <w:szCs w:val="20"/>
        </w:rPr>
        <w:t>Ủy ban</w:t>
      </w:r>
      <w:r w:rsidRPr="00166775">
        <w:rPr>
          <w:rFonts w:ascii="Arial" w:hAnsi="Arial" w:cs="Arial"/>
          <w:sz w:val="20"/>
          <w:szCs w:val="20"/>
        </w:rPr>
        <w:t xml:space="preserve"> nhân dân xã, phư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ng, đ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khu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4071D465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9EDF12B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25.000.000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6849ED9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772C941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</w:t>
      </w:r>
      <w:r w:rsidRPr="00166775">
        <w:rPr>
          <w:rFonts w:ascii="Arial" w:hAnsi="Arial" w:cs="Arial"/>
          <w:sz w:val="20"/>
          <w:szCs w:val="20"/>
        </w:rPr>
        <w:t>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043944B1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240CFF29" w14:textId="732DA299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ch </w:t>
      </w:r>
      <w:r w:rsidR="00166775">
        <w:rPr>
          <w:rFonts w:ascii="Arial" w:hAnsi="Arial" w:cs="Arial"/>
          <w:sz w:val="20"/>
          <w:szCs w:val="20"/>
        </w:rPr>
        <w:t>Ủy ban</w:t>
      </w:r>
      <w:r w:rsidRPr="00166775">
        <w:rPr>
          <w:rFonts w:ascii="Arial" w:hAnsi="Arial" w:cs="Arial"/>
          <w:sz w:val="20"/>
          <w:szCs w:val="20"/>
        </w:rPr>
        <w:t xml:space="preserve"> nhân dân t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>nh, thành ph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tr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trung ươn</w:t>
      </w:r>
      <w:r w:rsidRPr="00166775">
        <w:rPr>
          <w:rFonts w:ascii="Arial" w:hAnsi="Arial" w:cs="Arial"/>
          <w:sz w:val="20"/>
          <w:szCs w:val="20"/>
        </w:rPr>
        <w:t>g có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trong lĩnh v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như sau:</w:t>
      </w:r>
    </w:p>
    <w:p w14:paraId="21A59EF7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a)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c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nh cáo;</w:t>
      </w:r>
    </w:p>
    <w:p w14:paraId="69D01FC0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b)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ti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n 50.000.000 đ</w:t>
      </w:r>
      <w:r w:rsidRPr="00166775">
        <w:rPr>
          <w:rFonts w:ascii="Arial" w:hAnsi="Arial" w:cs="Arial"/>
          <w:sz w:val="20"/>
          <w:szCs w:val="20"/>
        </w:rPr>
        <w:t>ồ</w:t>
      </w:r>
      <w:r w:rsidRPr="00166775">
        <w:rPr>
          <w:rFonts w:ascii="Arial" w:hAnsi="Arial" w:cs="Arial"/>
          <w:sz w:val="20"/>
          <w:szCs w:val="20"/>
        </w:rPr>
        <w:t>ng;</w:t>
      </w:r>
    </w:p>
    <w:p w14:paraId="705F0787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c)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thu tang v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chính;</w:t>
      </w:r>
    </w:p>
    <w:p w14:paraId="08B0ACC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d) Tư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c quy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đăng ký hành ngh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 xml:space="preserve">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toán, Gi</w:t>
      </w:r>
      <w:r w:rsidRPr="00166775">
        <w:rPr>
          <w:rFonts w:ascii="Arial" w:hAnsi="Arial" w:cs="Arial"/>
          <w:sz w:val="20"/>
          <w:szCs w:val="20"/>
        </w:rPr>
        <w:t>ấ</w:t>
      </w:r>
      <w:r w:rsidRPr="00166775">
        <w:rPr>
          <w:rFonts w:ascii="Arial" w:hAnsi="Arial" w:cs="Arial"/>
          <w:sz w:val="20"/>
          <w:szCs w:val="20"/>
        </w:rPr>
        <w:t>y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ng nh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n đ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ki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kinh doanh d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ch v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 xml:space="preserve"> k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toán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đình ch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 xml:space="preserve"> ho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t đ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ng có th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i 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n;</w:t>
      </w:r>
    </w:p>
    <w:p w14:paraId="7CE0DC9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đ)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các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pháp kh</w:t>
      </w:r>
      <w:r w:rsidRPr="00166775">
        <w:rPr>
          <w:rFonts w:ascii="Arial" w:hAnsi="Arial" w:cs="Arial"/>
          <w:sz w:val="20"/>
          <w:szCs w:val="20"/>
        </w:rPr>
        <w:t>ắ</w:t>
      </w:r>
      <w:r w:rsidRPr="00166775">
        <w:rPr>
          <w:rFonts w:ascii="Arial" w:hAnsi="Arial" w:cs="Arial"/>
          <w:sz w:val="20"/>
          <w:szCs w:val="20"/>
        </w:rPr>
        <w:t>c ph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c h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u qu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5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597BF46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71a. X</w:t>
      </w:r>
      <w:r w:rsidRPr="00166775">
        <w:rPr>
          <w:rFonts w:ascii="Arial" w:hAnsi="Arial" w:cs="Arial"/>
          <w:b/>
          <w:sz w:val="20"/>
          <w:szCs w:val="20"/>
        </w:rPr>
        <w:t>ử</w:t>
      </w:r>
      <w:r w:rsidRPr="00166775">
        <w:rPr>
          <w:rFonts w:ascii="Arial" w:hAnsi="Arial" w:cs="Arial"/>
          <w:b/>
          <w:sz w:val="20"/>
          <w:szCs w:val="20"/>
        </w:rPr>
        <w:t xml:space="preserve"> lý vi ph</w:t>
      </w:r>
      <w:r w:rsidRPr="00166775">
        <w:rPr>
          <w:rFonts w:ascii="Arial" w:hAnsi="Arial" w:cs="Arial"/>
          <w:b/>
          <w:sz w:val="20"/>
          <w:szCs w:val="20"/>
        </w:rPr>
        <w:t>ạ</w:t>
      </w:r>
      <w:r w:rsidRPr="00166775">
        <w:rPr>
          <w:rFonts w:ascii="Arial" w:hAnsi="Arial" w:cs="Arial"/>
          <w:b/>
          <w:sz w:val="20"/>
          <w:szCs w:val="20"/>
        </w:rPr>
        <w:t>m hành chính trên môi trư</w:t>
      </w:r>
      <w:r w:rsidRPr="00166775">
        <w:rPr>
          <w:rFonts w:ascii="Arial" w:hAnsi="Arial" w:cs="Arial"/>
          <w:b/>
          <w:sz w:val="20"/>
          <w:szCs w:val="20"/>
        </w:rPr>
        <w:t>ờ</w:t>
      </w:r>
      <w:r w:rsidRPr="00166775">
        <w:rPr>
          <w:rFonts w:ascii="Arial" w:hAnsi="Arial" w:cs="Arial"/>
          <w:b/>
          <w:sz w:val="20"/>
          <w:szCs w:val="20"/>
        </w:rPr>
        <w:t>ng đi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n t</w:t>
      </w:r>
      <w:r w:rsidRPr="00166775">
        <w:rPr>
          <w:rFonts w:ascii="Arial" w:hAnsi="Arial" w:cs="Arial"/>
          <w:b/>
          <w:sz w:val="20"/>
          <w:szCs w:val="20"/>
        </w:rPr>
        <w:t>ử</w:t>
      </w:r>
    </w:p>
    <w:p w14:paraId="035B37EF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lastRenderedPageBreak/>
        <w:t>Vi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c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theo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trên môi 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đi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th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n theo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18a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và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28a,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28b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118/2021/NĐ-CP ngày 23 tháng 12 năm 2021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quy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chi ti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t m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t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đi</w:t>
      </w:r>
      <w:r w:rsidRPr="00166775">
        <w:rPr>
          <w:rFonts w:ascii="Arial" w:hAnsi="Arial" w:cs="Arial"/>
          <w:sz w:val="20"/>
          <w:szCs w:val="20"/>
        </w:rPr>
        <w:t>ề</w:t>
      </w:r>
      <w:r w:rsidRPr="00166775">
        <w:rPr>
          <w:rFonts w:ascii="Arial" w:hAnsi="Arial" w:cs="Arial"/>
          <w:sz w:val="20"/>
          <w:szCs w:val="20"/>
        </w:rPr>
        <w:t>u và bi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 xml:space="preserve">n pháp thi </w:t>
      </w:r>
      <w:r w:rsidRPr="00166775">
        <w:rPr>
          <w:rFonts w:ascii="Arial" w:hAnsi="Arial" w:cs="Arial"/>
          <w:sz w:val="20"/>
          <w:szCs w:val="20"/>
        </w:rPr>
        <w:t>hành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X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 xml:space="preserve"> lý vi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hành chính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đ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>i, b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sung b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68/2025/NĐ-CP ngày 18 tháng 3 năm 2025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và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s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190/2025/NĐ-CP ngày 01 tháng 7 năm 2025 c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a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.”.</w:t>
      </w:r>
    </w:p>
    <w:p w14:paraId="5D7D879E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5. 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u l</w:t>
      </w:r>
      <w:r w:rsidRPr="00166775">
        <w:rPr>
          <w:rFonts w:ascii="Arial" w:hAnsi="Arial" w:cs="Arial"/>
          <w:b/>
          <w:sz w:val="20"/>
          <w:szCs w:val="20"/>
        </w:rPr>
        <w:t>ự</w:t>
      </w:r>
      <w:r w:rsidRPr="00166775">
        <w:rPr>
          <w:rFonts w:ascii="Arial" w:hAnsi="Arial" w:cs="Arial"/>
          <w:b/>
          <w:sz w:val="20"/>
          <w:szCs w:val="20"/>
        </w:rPr>
        <w:t>c thi hành</w:t>
      </w:r>
    </w:p>
    <w:p w14:paraId="33C8904A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có 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u l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</w:t>
      </w:r>
      <w:r w:rsidRPr="00166775">
        <w:rPr>
          <w:rFonts w:ascii="Arial" w:hAnsi="Arial" w:cs="Arial"/>
          <w:sz w:val="20"/>
          <w:szCs w:val="20"/>
        </w:rPr>
        <w:t>hi hành k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ừ</w:t>
      </w:r>
      <w:r w:rsidRPr="00166775">
        <w:rPr>
          <w:rFonts w:ascii="Arial" w:hAnsi="Arial" w:cs="Arial"/>
          <w:sz w:val="20"/>
          <w:szCs w:val="20"/>
        </w:rPr>
        <w:t xml:space="preserve"> ngày 21 tháng 5 năm 2026.</w:t>
      </w:r>
    </w:p>
    <w:p w14:paraId="30544332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Trư</w:t>
      </w:r>
      <w:r w:rsidRPr="00166775">
        <w:rPr>
          <w:rFonts w:ascii="Arial" w:hAnsi="Arial" w:cs="Arial"/>
          <w:sz w:val="20"/>
          <w:szCs w:val="20"/>
        </w:rPr>
        <w:t>ờ</w:t>
      </w:r>
      <w:r w:rsidRPr="00166775">
        <w:rPr>
          <w:rFonts w:ascii="Arial" w:hAnsi="Arial" w:cs="Arial"/>
          <w:sz w:val="20"/>
          <w:szCs w:val="20"/>
        </w:rPr>
        <w:t>ng h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p các văn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quy ph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m pháp lu</w:t>
      </w:r>
      <w:r w:rsidRPr="00166775">
        <w:rPr>
          <w:rFonts w:ascii="Arial" w:hAnsi="Arial" w:cs="Arial"/>
          <w:sz w:val="20"/>
          <w:szCs w:val="20"/>
        </w:rPr>
        <w:t>ậ</w:t>
      </w:r>
      <w:r w:rsidRPr="00166775">
        <w:rPr>
          <w:rFonts w:ascii="Arial" w:hAnsi="Arial" w:cs="Arial"/>
          <w:sz w:val="20"/>
          <w:szCs w:val="20"/>
        </w:rPr>
        <w:t>t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d</w:t>
      </w:r>
      <w:r w:rsidRPr="00166775">
        <w:rPr>
          <w:rFonts w:ascii="Arial" w:hAnsi="Arial" w:cs="Arial"/>
          <w:sz w:val="20"/>
          <w:szCs w:val="20"/>
        </w:rPr>
        <w:t>ẫ</w:t>
      </w:r>
      <w:r w:rsidRPr="00166775">
        <w:rPr>
          <w:rFonts w:ascii="Arial" w:hAnsi="Arial" w:cs="Arial"/>
          <w:sz w:val="20"/>
          <w:szCs w:val="20"/>
        </w:rPr>
        <w:t>n chi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>u đ</w:t>
      </w:r>
      <w:r w:rsidRPr="00166775">
        <w:rPr>
          <w:rFonts w:ascii="Arial" w:hAnsi="Arial" w:cs="Arial"/>
          <w:sz w:val="20"/>
          <w:szCs w:val="20"/>
        </w:rPr>
        <w:t>ể</w:t>
      </w:r>
      <w:r w:rsidRPr="00166775">
        <w:rPr>
          <w:rFonts w:ascii="Arial" w:hAnsi="Arial" w:cs="Arial"/>
          <w:sz w:val="20"/>
          <w:szCs w:val="20"/>
        </w:rPr>
        <w:t xml:space="preserve">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t</w:t>
      </w:r>
      <w:r w:rsidRPr="00166775">
        <w:rPr>
          <w:rFonts w:ascii="Arial" w:hAnsi="Arial" w:cs="Arial"/>
          <w:sz w:val="20"/>
          <w:szCs w:val="20"/>
        </w:rPr>
        <w:t>ạ</w:t>
      </w:r>
      <w:r w:rsidRPr="00166775">
        <w:rPr>
          <w:rFonts w:ascii="Arial" w:hAnsi="Arial" w:cs="Arial"/>
          <w:sz w:val="20"/>
          <w:szCs w:val="20"/>
        </w:rPr>
        <w:t>i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 đư</w:t>
      </w:r>
      <w:r w:rsidRPr="00166775">
        <w:rPr>
          <w:rFonts w:ascii="Arial" w:hAnsi="Arial" w:cs="Arial"/>
          <w:sz w:val="20"/>
          <w:szCs w:val="20"/>
        </w:rPr>
        <w:t>ợ</w:t>
      </w:r>
      <w:r w:rsidRPr="00166775">
        <w:rPr>
          <w:rFonts w:ascii="Arial" w:hAnsi="Arial" w:cs="Arial"/>
          <w:sz w:val="20"/>
          <w:szCs w:val="20"/>
        </w:rPr>
        <w:t>c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đ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>i, b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sung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thay th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b</w:t>
      </w:r>
      <w:r w:rsidRPr="00166775">
        <w:rPr>
          <w:rFonts w:ascii="Arial" w:hAnsi="Arial" w:cs="Arial"/>
          <w:sz w:val="20"/>
          <w:szCs w:val="20"/>
        </w:rPr>
        <w:t>ằ</w:t>
      </w:r>
      <w:r w:rsidRPr="00166775">
        <w:rPr>
          <w:rFonts w:ascii="Arial" w:hAnsi="Arial" w:cs="Arial"/>
          <w:sz w:val="20"/>
          <w:szCs w:val="20"/>
        </w:rPr>
        <w:t>ng văn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m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i thì áp d</w:t>
      </w:r>
      <w:r w:rsidRPr="00166775">
        <w:rPr>
          <w:rFonts w:ascii="Arial" w:hAnsi="Arial" w:cs="Arial"/>
          <w:sz w:val="20"/>
          <w:szCs w:val="20"/>
        </w:rPr>
        <w:t>ụ</w:t>
      </w:r>
      <w:r w:rsidRPr="00166775">
        <w:rPr>
          <w:rFonts w:ascii="Arial" w:hAnsi="Arial" w:cs="Arial"/>
          <w:sz w:val="20"/>
          <w:szCs w:val="20"/>
        </w:rPr>
        <w:t>ng theo các văn b</w:t>
      </w:r>
      <w:r w:rsidRPr="00166775">
        <w:rPr>
          <w:rFonts w:ascii="Arial" w:hAnsi="Arial" w:cs="Arial"/>
          <w:sz w:val="20"/>
          <w:szCs w:val="20"/>
        </w:rPr>
        <w:t>ả</w:t>
      </w:r>
      <w:r w:rsidRPr="00166775">
        <w:rPr>
          <w:rFonts w:ascii="Arial" w:hAnsi="Arial" w:cs="Arial"/>
          <w:sz w:val="20"/>
          <w:szCs w:val="20"/>
        </w:rPr>
        <w:t>n s</w:t>
      </w:r>
      <w:r w:rsidRPr="00166775">
        <w:rPr>
          <w:rFonts w:ascii="Arial" w:hAnsi="Arial" w:cs="Arial"/>
          <w:sz w:val="20"/>
          <w:szCs w:val="20"/>
        </w:rPr>
        <w:t>ử</w:t>
      </w:r>
      <w:r w:rsidRPr="00166775">
        <w:rPr>
          <w:rFonts w:ascii="Arial" w:hAnsi="Arial" w:cs="Arial"/>
          <w:sz w:val="20"/>
          <w:szCs w:val="20"/>
        </w:rPr>
        <w:t>a đ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>i, b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sung ho</w:t>
      </w:r>
      <w:r w:rsidRPr="00166775">
        <w:rPr>
          <w:rFonts w:ascii="Arial" w:hAnsi="Arial" w:cs="Arial"/>
          <w:sz w:val="20"/>
          <w:szCs w:val="20"/>
        </w:rPr>
        <w:t>ặ</w:t>
      </w:r>
      <w:r w:rsidRPr="00166775">
        <w:rPr>
          <w:rFonts w:ascii="Arial" w:hAnsi="Arial" w:cs="Arial"/>
          <w:sz w:val="20"/>
          <w:szCs w:val="20"/>
        </w:rPr>
        <w:t>c thay th</w:t>
      </w:r>
      <w:r w:rsidRPr="00166775">
        <w:rPr>
          <w:rFonts w:ascii="Arial" w:hAnsi="Arial" w:cs="Arial"/>
          <w:sz w:val="20"/>
          <w:szCs w:val="20"/>
        </w:rPr>
        <w:t>ế</w:t>
      </w:r>
      <w:r w:rsidRPr="00166775">
        <w:rPr>
          <w:rFonts w:ascii="Arial" w:hAnsi="Arial" w:cs="Arial"/>
          <w:sz w:val="20"/>
          <w:szCs w:val="20"/>
        </w:rPr>
        <w:t xml:space="preserve"> đó.</w:t>
      </w:r>
    </w:p>
    <w:p w14:paraId="2BA2A69D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b/>
          <w:sz w:val="20"/>
          <w:szCs w:val="20"/>
        </w:rPr>
        <w:t>Đi</w:t>
      </w:r>
      <w:r w:rsidRPr="00166775">
        <w:rPr>
          <w:rFonts w:ascii="Arial" w:hAnsi="Arial" w:cs="Arial"/>
          <w:b/>
          <w:sz w:val="20"/>
          <w:szCs w:val="20"/>
        </w:rPr>
        <w:t>ề</w:t>
      </w:r>
      <w:r w:rsidRPr="00166775">
        <w:rPr>
          <w:rFonts w:ascii="Arial" w:hAnsi="Arial" w:cs="Arial"/>
          <w:b/>
          <w:sz w:val="20"/>
          <w:szCs w:val="20"/>
        </w:rPr>
        <w:t>u 6. Tr</w:t>
      </w:r>
      <w:r w:rsidRPr="00166775">
        <w:rPr>
          <w:rFonts w:ascii="Arial" w:hAnsi="Arial" w:cs="Arial"/>
          <w:b/>
          <w:sz w:val="20"/>
          <w:szCs w:val="20"/>
        </w:rPr>
        <w:t>ách nhi</w:t>
      </w:r>
      <w:r w:rsidRPr="00166775">
        <w:rPr>
          <w:rFonts w:ascii="Arial" w:hAnsi="Arial" w:cs="Arial"/>
          <w:b/>
          <w:sz w:val="20"/>
          <w:szCs w:val="20"/>
        </w:rPr>
        <w:t>ệ</w:t>
      </w:r>
      <w:r w:rsidRPr="00166775">
        <w:rPr>
          <w:rFonts w:ascii="Arial" w:hAnsi="Arial" w:cs="Arial"/>
          <w:b/>
          <w:sz w:val="20"/>
          <w:szCs w:val="20"/>
        </w:rPr>
        <w:t>m thi hành</w:t>
      </w:r>
    </w:p>
    <w:p w14:paraId="19DE9986" w14:textId="77777777" w:rsidR="0001079D" w:rsidRPr="00166775" w:rsidRDefault="00B91103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1.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Tài chính có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hư</w:t>
      </w:r>
      <w:r w:rsidRPr="00166775">
        <w:rPr>
          <w:rFonts w:ascii="Arial" w:hAnsi="Arial" w:cs="Arial"/>
          <w:sz w:val="20"/>
          <w:szCs w:val="20"/>
        </w:rPr>
        <w:t>ớ</w:t>
      </w:r>
      <w:r w:rsidRPr="00166775">
        <w:rPr>
          <w:rFonts w:ascii="Arial" w:hAnsi="Arial" w:cs="Arial"/>
          <w:sz w:val="20"/>
          <w:szCs w:val="20"/>
        </w:rPr>
        <w:t>ng d</w:t>
      </w:r>
      <w:r w:rsidRPr="00166775">
        <w:rPr>
          <w:rFonts w:ascii="Arial" w:hAnsi="Arial" w:cs="Arial"/>
          <w:sz w:val="20"/>
          <w:szCs w:val="20"/>
        </w:rPr>
        <w:t>ẫ</w:t>
      </w:r>
      <w:r w:rsidRPr="00166775">
        <w:rPr>
          <w:rFonts w:ascii="Arial" w:hAnsi="Arial" w:cs="Arial"/>
          <w:sz w:val="20"/>
          <w:szCs w:val="20"/>
        </w:rPr>
        <w:t>n, 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 thi hành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0BB45DE9" w14:textId="46B7FFAA" w:rsidR="0001079D" w:rsidRDefault="00B91103" w:rsidP="0016677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166775">
        <w:rPr>
          <w:rFonts w:ascii="Arial" w:hAnsi="Arial" w:cs="Arial"/>
          <w:sz w:val="20"/>
          <w:szCs w:val="20"/>
        </w:rPr>
        <w:t>2. Các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ng,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cơ quan ngang b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, Th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trư</w:t>
      </w:r>
      <w:r w:rsidRPr="00166775">
        <w:rPr>
          <w:rFonts w:ascii="Arial" w:hAnsi="Arial" w:cs="Arial"/>
          <w:sz w:val="20"/>
          <w:szCs w:val="20"/>
        </w:rPr>
        <w:t>ở</w:t>
      </w:r>
      <w:r w:rsidRPr="00166775">
        <w:rPr>
          <w:rFonts w:ascii="Arial" w:hAnsi="Arial" w:cs="Arial"/>
          <w:sz w:val="20"/>
          <w:szCs w:val="20"/>
        </w:rPr>
        <w:t>ng cơ quan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>c Chính ph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>, Ch</w:t>
      </w:r>
      <w:r w:rsidRPr="00166775">
        <w:rPr>
          <w:rFonts w:ascii="Arial" w:hAnsi="Arial" w:cs="Arial"/>
          <w:sz w:val="20"/>
          <w:szCs w:val="20"/>
        </w:rPr>
        <w:t>ủ</w:t>
      </w:r>
      <w:r w:rsidRPr="00166775">
        <w:rPr>
          <w:rFonts w:ascii="Arial" w:hAnsi="Arial" w:cs="Arial"/>
          <w:sz w:val="20"/>
          <w:szCs w:val="20"/>
        </w:rPr>
        <w:t xml:space="preserve"> t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ch </w:t>
      </w:r>
      <w:r w:rsidR="00166775">
        <w:rPr>
          <w:rFonts w:ascii="Arial" w:hAnsi="Arial" w:cs="Arial"/>
          <w:sz w:val="20"/>
          <w:szCs w:val="20"/>
        </w:rPr>
        <w:t>Ủy ban</w:t>
      </w:r>
      <w:r w:rsidRPr="00166775">
        <w:rPr>
          <w:rFonts w:ascii="Arial" w:hAnsi="Arial" w:cs="Arial"/>
          <w:sz w:val="20"/>
          <w:szCs w:val="20"/>
        </w:rPr>
        <w:t xml:space="preserve"> nhân dân các t</w:t>
      </w:r>
      <w:r w:rsidRPr="00166775">
        <w:rPr>
          <w:rFonts w:ascii="Arial" w:hAnsi="Arial" w:cs="Arial"/>
          <w:sz w:val="20"/>
          <w:szCs w:val="20"/>
        </w:rPr>
        <w:t>ỉ</w:t>
      </w:r>
      <w:r w:rsidRPr="00166775">
        <w:rPr>
          <w:rFonts w:ascii="Arial" w:hAnsi="Arial" w:cs="Arial"/>
          <w:sz w:val="20"/>
          <w:szCs w:val="20"/>
        </w:rPr>
        <w:t>nh, thành ph</w:t>
      </w:r>
      <w:r w:rsidRPr="00166775">
        <w:rPr>
          <w:rFonts w:ascii="Arial" w:hAnsi="Arial" w:cs="Arial"/>
          <w:sz w:val="20"/>
          <w:szCs w:val="20"/>
        </w:rPr>
        <w:t>ố</w:t>
      </w:r>
      <w:r w:rsidRPr="00166775">
        <w:rPr>
          <w:rFonts w:ascii="Arial" w:hAnsi="Arial" w:cs="Arial"/>
          <w:sz w:val="20"/>
          <w:szCs w:val="20"/>
        </w:rPr>
        <w:t xml:space="preserve"> tr</w:t>
      </w:r>
      <w:r w:rsidRPr="00166775">
        <w:rPr>
          <w:rFonts w:ascii="Arial" w:hAnsi="Arial" w:cs="Arial"/>
          <w:sz w:val="20"/>
          <w:szCs w:val="20"/>
        </w:rPr>
        <w:t>ự</w:t>
      </w:r>
      <w:r w:rsidRPr="00166775">
        <w:rPr>
          <w:rFonts w:ascii="Arial" w:hAnsi="Arial" w:cs="Arial"/>
          <w:sz w:val="20"/>
          <w:szCs w:val="20"/>
        </w:rPr>
        <w:t>c thu</w:t>
      </w:r>
      <w:r w:rsidRPr="00166775">
        <w:rPr>
          <w:rFonts w:ascii="Arial" w:hAnsi="Arial" w:cs="Arial"/>
          <w:sz w:val="20"/>
          <w:szCs w:val="20"/>
        </w:rPr>
        <w:t>ộ</w:t>
      </w:r>
      <w:r w:rsidRPr="00166775">
        <w:rPr>
          <w:rFonts w:ascii="Arial" w:hAnsi="Arial" w:cs="Arial"/>
          <w:sz w:val="20"/>
          <w:szCs w:val="20"/>
        </w:rPr>
        <w:t xml:space="preserve">c trung ương và </w:t>
      </w:r>
      <w:r w:rsidRPr="00166775">
        <w:rPr>
          <w:rFonts w:ascii="Arial" w:hAnsi="Arial" w:cs="Arial"/>
          <w:sz w:val="20"/>
          <w:szCs w:val="20"/>
        </w:rPr>
        <w:t>t</w:t>
      </w:r>
      <w:r w:rsidRPr="00166775">
        <w:rPr>
          <w:rFonts w:ascii="Arial" w:hAnsi="Arial" w:cs="Arial"/>
          <w:sz w:val="20"/>
          <w:szCs w:val="20"/>
        </w:rPr>
        <w:t>ổ</w:t>
      </w:r>
      <w:r w:rsidRPr="00166775">
        <w:rPr>
          <w:rFonts w:ascii="Arial" w:hAnsi="Arial" w:cs="Arial"/>
          <w:sz w:val="20"/>
          <w:szCs w:val="20"/>
        </w:rPr>
        <w:t xml:space="preserve"> ch</w:t>
      </w:r>
      <w:r w:rsidRPr="00166775">
        <w:rPr>
          <w:rFonts w:ascii="Arial" w:hAnsi="Arial" w:cs="Arial"/>
          <w:sz w:val="20"/>
          <w:szCs w:val="20"/>
        </w:rPr>
        <w:t>ứ</w:t>
      </w:r>
      <w:r w:rsidRPr="00166775">
        <w:rPr>
          <w:rFonts w:ascii="Arial" w:hAnsi="Arial" w:cs="Arial"/>
          <w:sz w:val="20"/>
          <w:szCs w:val="20"/>
        </w:rPr>
        <w:t>c, cá nhân có liên quan ch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u trách nhi</w:t>
      </w:r>
      <w:r w:rsidRPr="00166775">
        <w:rPr>
          <w:rFonts w:ascii="Arial" w:hAnsi="Arial" w:cs="Arial"/>
          <w:sz w:val="20"/>
          <w:szCs w:val="20"/>
        </w:rPr>
        <w:t>ệ</w:t>
      </w:r>
      <w:r w:rsidRPr="00166775">
        <w:rPr>
          <w:rFonts w:ascii="Arial" w:hAnsi="Arial" w:cs="Arial"/>
          <w:sz w:val="20"/>
          <w:szCs w:val="20"/>
        </w:rPr>
        <w:t>m thi hành Ngh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 xml:space="preserve"> đ</w:t>
      </w:r>
      <w:r w:rsidRPr="00166775">
        <w:rPr>
          <w:rFonts w:ascii="Arial" w:hAnsi="Arial" w:cs="Arial"/>
          <w:sz w:val="20"/>
          <w:szCs w:val="20"/>
        </w:rPr>
        <w:t>ị</w:t>
      </w:r>
      <w:r w:rsidRPr="00166775">
        <w:rPr>
          <w:rFonts w:ascii="Arial" w:hAnsi="Arial" w:cs="Arial"/>
          <w:sz w:val="20"/>
          <w:szCs w:val="20"/>
        </w:rPr>
        <w:t>nh này.</w:t>
      </w:r>
    </w:p>
    <w:p w14:paraId="411A3030" w14:textId="77777777" w:rsidR="00166775" w:rsidRDefault="00166775" w:rsidP="00166775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497"/>
      </w:tblGrid>
      <w:tr w:rsidR="00166775" w:rsidRPr="00A13C91" w14:paraId="0EF0CB31" w14:textId="77777777" w:rsidTr="00166775">
        <w:trPr>
          <w:tblCellSpacing w:w="0" w:type="dxa"/>
        </w:trPr>
        <w:tc>
          <w:tcPr>
            <w:tcW w:w="306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F9CAC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166775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7A6A3E02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58D9D686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Các bộ, cơ quan ngang bộ, cơ quan thuộc Chính phủ;</w:t>
            </w:r>
          </w:p>
          <w:p w14:paraId="3807C000" w14:textId="036487BE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 xml:space="preserve">- HĐND, UBND các tỉnh, thành phố trực thuộc </w:t>
            </w:r>
            <w:r w:rsidR="00C15F26" w:rsidRPr="00166775">
              <w:rPr>
                <w:rFonts w:ascii="Arial" w:hAnsi="Arial" w:cs="Arial"/>
                <w:sz w:val="20"/>
                <w:szCs w:val="20"/>
              </w:rPr>
              <w:t>tr</w:t>
            </w:r>
            <w:r w:rsidRPr="00166775">
              <w:rPr>
                <w:rFonts w:ascii="Arial" w:hAnsi="Arial" w:cs="Arial"/>
                <w:sz w:val="20"/>
                <w:szCs w:val="20"/>
              </w:rPr>
              <w:t>ung ương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C5D9A5E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Văn phòng Trung ương và các Ban của Đảng;</w:t>
            </w:r>
          </w:p>
          <w:p w14:paraId="4DF7BDDF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343BF6EB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775">
              <w:rPr>
                <w:rFonts w:ascii="Arial" w:hAnsi="Arial" w:cs="Arial"/>
                <w:sz w:val="20"/>
                <w:szCs w:val="20"/>
              </w:rPr>
              <w:t>Văn phòng Chủ tịch nước;</w:t>
            </w:r>
          </w:p>
          <w:p w14:paraId="7B7C6637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66775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6E6A4BCE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7EEB198A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1C3FBF24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5494933B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62E11F64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166775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717E1AD0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Cơ quan trung ương của các tổ chức chính trị - xã hội;</w:t>
            </w:r>
          </w:p>
          <w:p w14:paraId="0DD79573" w14:textId="77777777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VPCP: BTCN, các PCN, Trợ lý TTg, TGĐ Cổng TTĐT,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6775">
              <w:rPr>
                <w:rFonts w:ascii="Arial" w:hAnsi="Arial" w:cs="Arial"/>
                <w:sz w:val="20"/>
                <w:szCs w:val="20"/>
              </w:rPr>
              <w:t>các Vụ, Cục, đơn vị trực thuộc, Công báo;</w:t>
            </w:r>
          </w:p>
          <w:p w14:paraId="0D662EE2" w14:textId="4083A005" w:rsidR="00166775" w:rsidRPr="00166775" w:rsidRDefault="00166775" w:rsidP="00166775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66775">
              <w:rPr>
                <w:rFonts w:ascii="Arial" w:hAnsi="Arial" w:cs="Arial"/>
                <w:sz w:val="20"/>
                <w:szCs w:val="20"/>
              </w:rPr>
              <w:t>- Lưu: VT, KTTH (2b).</w:t>
            </w:r>
          </w:p>
        </w:tc>
        <w:tc>
          <w:tcPr>
            <w:tcW w:w="19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13F56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TM. CHÍNH PHỦ</w:t>
            </w:r>
          </w:p>
          <w:p w14:paraId="2A8798AA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THỦ TƯỚNG</w:t>
            </w:r>
          </w:p>
          <w:p w14:paraId="2833F47B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PHÓ THỦ TƯỚNG</w:t>
            </w:r>
          </w:p>
          <w:p w14:paraId="10003AAB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A7563D7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8092CD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56D6D0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DBBB8CB" w14:textId="77777777" w:rsidR="00166775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EF8841B" w14:textId="03444F71" w:rsidR="00166775" w:rsidRPr="00A13C91" w:rsidRDefault="00166775" w:rsidP="00166775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Hồ Đức Phớc</w:t>
            </w:r>
          </w:p>
        </w:tc>
      </w:tr>
    </w:tbl>
    <w:p w14:paraId="5576C44C" w14:textId="538C2A4D" w:rsidR="0001079D" w:rsidRPr="00166775" w:rsidRDefault="0001079D" w:rsidP="00562A3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01079D" w:rsidRPr="00166775" w:rsidSect="00166775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26477" w14:textId="77777777" w:rsidR="00B91103" w:rsidRDefault="00B91103">
      <w:pPr>
        <w:spacing w:after="0" w:line="240" w:lineRule="auto"/>
      </w:pPr>
      <w:r>
        <w:separator/>
      </w:r>
    </w:p>
  </w:endnote>
  <w:endnote w:type="continuationSeparator" w:id="0">
    <w:p w14:paraId="061DFBE4" w14:textId="77777777" w:rsidR="00B91103" w:rsidRDefault="00B91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70800" w14:textId="77777777" w:rsidR="00B91103" w:rsidRDefault="00B91103">
      <w:pPr>
        <w:spacing w:after="0" w:line="240" w:lineRule="auto"/>
      </w:pPr>
      <w:r>
        <w:separator/>
      </w:r>
    </w:p>
  </w:footnote>
  <w:footnote w:type="continuationSeparator" w:id="0">
    <w:p w14:paraId="03A2364D" w14:textId="77777777" w:rsidR="00B91103" w:rsidRDefault="00B91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9D"/>
    <w:rsid w:val="0001079D"/>
    <w:rsid w:val="0004146F"/>
    <w:rsid w:val="00166775"/>
    <w:rsid w:val="00562A3F"/>
    <w:rsid w:val="00721C69"/>
    <w:rsid w:val="00725A6C"/>
    <w:rsid w:val="00B91103"/>
    <w:rsid w:val="00C15F26"/>
    <w:rsid w:val="00CA44C7"/>
    <w:rsid w:val="00F9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6FA5"/>
  <w15:docId w15:val="{53314A42-3BE5-4E30-BA13-E5F3FFDD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775"/>
  </w:style>
  <w:style w:type="paragraph" w:styleId="Footer">
    <w:name w:val="footer"/>
    <w:basedOn w:val="Normal"/>
    <w:link w:val="FooterChar"/>
    <w:uiPriority w:val="99"/>
    <w:unhideWhenUsed/>
    <w:rsid w:val="001667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10</cp:lastModifiedBy>
  <cp:revision>2</cp:revision>
  <dcterms:created xsi:type="dcterms:W3CDTF">2026-04-08T09:24:00Z</dcterms:created>
  <dcterms:modified xsi:type="dcterms:W3CDTF">2026-04-08T09:24:00Z</dcterms:modified>
</cp:coreProperties>
</file>