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000"/>
      </w:tblPr>
      <w:tblGrid>
        <w:gridCol w:w="3060"/>
        <w:gridCol w:w="6300"/>
        <w:tblGridChange w:id="0">
          <w:tblGrid>
            <w:gridCol w:w="3060"/>
            <w:gridCol w:w="6300"/>
          </w:tblGrid>
        </w:tblGridChange>
      </w:tblGrid>
      <w:tr>
        <w:trPr>
          <w:cantSplit w:val="0"/>
          <w:tblHeader w:val="0"/>
        </w:trPr>
        <w:tc>
          <w:tcPr>
            <w:shd w:fill="ffffff" w:val="clea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CÔNG TY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Số: …../CV-……</w:t>
            </w:r>
          </w:p>
        </w:tc>
        <w:tc>
          <w:tcPr>
            <w:shd w:fill="ffffff" w:val="clear"/>
            <w:vAlign w:val="cente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Độc lập – Tự do – Hạnh phúc</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ngày….. tháng….. năm ….. 202…</w:t>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center"/>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CÔNG VĂN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V/v giải trình Hàng hóa dịch vụ bán ra vượt quá giá trị tồn kho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Kính gửi: Chi cục thuế/Cục thuế………………..</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Người nộp thuế: Công ty TNHH Manabox Việt Nam</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Mã số thuế: 0106785090</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Địa chỉ trụ sở tại: Phòng 701, tầng 7, tòa nhà 3D center, số 3 Duy Tân, Phường Dịch Vọng Hậu, Quận Cầu Giấy, TP Hà Nội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Người đại diện theo pháp luật:  Sugeno Tomohiro 菅野智洋 &lt;t.sugeno@manabox.co.jp&gt;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64"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Lĩnh vực hoạt động chính: …</w:t>
      </w:r>
    </w:p>
    <w:p w:rsidR="00000000" w:rsidDel="00000000" w:rsidP="00000000" w:rsidRDefault="00000000" w:rsidRPr="00000000" w14:paraId="00000012">
      <w:pPr>
        <w:spacing w:line="26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 Công ty … nhận được thông báo số … của Cục thuế … về việc công ty có giá trị hàng hóa dịch vụ bán ra vượt quá giá trị hàng tồn kho thuộc diện cảnh báo rủi ro.</w:t>
      </w:r>
    </w:p>
    <w:p w:rsidR="00000000" w:rsidDel="00000000" w:rsidP="00000000" w:rsidRDefault="00000000" w:rsidRPr="00000000" w14:paraId="00000013">
      <w:pPr>
        <w:spacing w:line="26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rà soát lại hồ sơ, hóa đơn, sổ sách, Công ty TNHH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xin được giải trình như sau: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Đặc điểm hoạt động kinh doanh: Do công ty tôi sản xuất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nguyên vật liệu để sản xuất là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có nguồn gốc mua vào chủ yếu từ các cá nhân không kinh doanh nên không có hóa đơn đầu vào. Công ty đã lập bảng kê thu mua hàng hóa, dịch vụ mua vào theo mẫu số 01/TNDN theo quy định kèm Hợp đồng mua bán……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(Tham khảo một số trường hợp lập mẫu 01/TNDN</w:t>
      </w:r>
    </w:p>
    <w:p w:rsidR="00000000" w:rsidDel="00000000" w:rsidP="00000000" w:rsidRDefault="00000000" w:rsidRPr="00000000" w14:paraId="0000001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Mua hàng hóa là nông, lâm, thủy sản của người sản xuất, đánh bắt trực tiếp bán ra;</w:t>
      </w:r>
    </w:p>
    <w:p w:rsidR="00000000" w:rsidDel="00000000" w:rsidP="00000000" w:rsidRDefault="00000000" w:rsidRPr="00000000" w14:paraId="0000001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Mua sản phẩm thủ công làm bằng đay, cói, tre, nứa, lá, song, mây, rơm, vỏ dừa, sọ dừa hoặc nguyên liệu tận dụng từ sản phẩm nông nghiệp của người sản xuất thủ công không kinh doanh trực tiếp bán ra;</w:t>
      </w:r>
    </w:p>
    <w:p w:rsidR="00000000" w:rsidDel="00000000" w:rsidP="00000000" w:rsidRDefault="00000000" w:rsidRPr="00000000" w14:paraId="0000001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Mua đất, đá, cát, sỏi của hộ, cá nhân tự khai thác trực tiếp bán ra;</w:t>
      </w:r>
    </w:p>
    <w:p w:rsidR="00000000" w:rsidDel="00000000" w:rsidP="00000000" w:rsidRDefault="00000000" w:rsidRPr="00000000" w14:paraId="0000001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Mua phế liệu của người trực tiếp thu nhặt;</w:t>
      </w:r>
    </w:p>
    <w:p w:rsidR="00000000" w:rsidDel="00000000" w:rsidP="00000000" w:rsidRDefault="00000000" w:rsidRPr="00000000" w14:paraId="0000001A">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Mua tài sản, dịch vụ của hộ, cá nhân không kinh doanh trực tiếp bán ra;</w:t>
      </w:r>
    </w:p>
    <w:p w:rsidR="00000000" w:rsidDel="00000000" w:rsidP="00000000" w:rsidRDefault="00000000" w:rsidRPr="00000000" w14:paraId="0000001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Mua hàng hóa, dịch vụ của cá nhân, hộ kinh doanh (không bao gồm các trường hợp nêu trên) có mức doanh thu dưới ngưỡng doanh thu chịu thuế giá trị gia tăng (100 triệu đồng/năm)</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64" w:lineRule="auto"/>
        <w:ind w:left="108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Bởi vậy khi cơ quan thuế dựa vào số liệu phân tích trên hệ thống để phân tích số liệu dẫn đến kết quả thuộc doanh nghiệp rủi ro như trong thông báo .</w:t>
      </w:r>
    </w:p>
    <w:p w:rsidR="00000000" w:rsidDel="00000000" w:rsidP="00000000" w:rsidRDefault="00000000" w:rsidRPr="00000000" w14:paraId="0000001D">
      <w:pPr>
        <w:spacing w:line="26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Chúng tôi cam kết những thông tin trên đây là trung thực, chính xác và xin chịu hoàn toàn trách nhiệm trước pháp luật về thông tin đã kê khai. Chúng tôi xin trân trọng cảm ơn./.</w:t>
      </w:r>
    </w:p>
    <w:p w:rsidR="00000000" w:rsidDel="00000000" w:rsidP="00000000" w:rsidRDefault="00000000" w:rsidRPr="00000000" w14:paraId="0000001E">
      <w:pPr>
        <w:spacing w:line="264"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64"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Nơi nhận:                                          </w:t>
        <w:tab/>
        <w:t xml:space="preserve">           </w:t>
      </w:r>
      <w:r w:rsidDel="00000000" w:rsidR="00000000" w:rsidRPr="00000000">
        <w:rPr>
          <w:rFonts w:ascii="Times New Roman" w:cs="Times New Roman" w:eastAsia="Times New Roman" w:hAnsi="Times New Roman"/>
          <w:b w:val="1"/>
          <w:bCs w:val="1"/>
          <w:sz w:val="24"/>
          <w:szCs w:val="24"/>
          <w:rtl w:val="0"/>
        </w:rPr>
        <w:tab/>
        <w:tab/>
        <w:t xml:space="preserve">CÔNG TY TNHH … VIỆT NAM</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Như kính gửi</w:t>
        <w:tab/>
        <w:tab/>
        <w:tab/>
        <w:tab/>
        <w:tab/>
        <w:tab/>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Lưu: VT, KT</w:t>
        <w:tab/>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0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