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THÔNG TIN CHUNG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Tiêu chí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Nội 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Vị trí chức danh: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Mã số công việc: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Bộ phận: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Báo cáo trực tiếp cho: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[Chức danh quản lý]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Báo cáo gián tiếp cho: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Các mối quan hệ nội bộ khác: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Các mối quan hệ bên ngoài: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II. MỤC ĐÍCH CÔNG VIỆC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(Mô tả ngắn gọn lý do tồn tại của vị trí này)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TRÁCH NHIỆM VÀ NHIỆM VỤ CHÍNH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Nhiệm vụ chuyên môn:</w:t>
      </w:r>
      <w:r w:rsidDel="00000000" w:rsidR="00000000" w:rsidRPr="00000000">
        <w:rPr>
          <w:rtl w:val="0"/>
        </w:rPr>
        <w:t xml:space="preserve"> .................................................................................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Chi tiết: 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Kết quả yêu cầu: 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Nhiệm vụ phối hợp/báo cáo: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Phối hợp với các bộ phận liên quan.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Báo cáo định kỳ cho quản lý.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YÊU CẦU NĂNG LỰC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Học vấn: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Kinh nghiệm: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Kỹ năng: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Thái độ: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QUYỀN LỢI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Lương + Thưởng KPI.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Chế độ BHXH và phúc lợi khác.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