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08.0" w:type="dxa"/>
        <w:jc w:val="left"/>
        <w:tblInd w:w="14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977"/>
        <w:gridCol w:w="5931"/>
        <w:tblGridChange w:id="0">
          <w:tblGrid>
            <w:gridCol w:w="2977"/>
            <w:gridCol w:w="5931"/>
          </w:tblGrid>
        </w:tblGridChange>
      </w:tblGrid>
      <w:tr>
        <w:trPr>
          <w:cantSplit w:val="0"/>
          <w:trHeight w:val="107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160" w:line="3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       TÊN CƠ QUAN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CỘNG HÒA XÃ HỘI CHỦ NGHĨA VIỆT NAM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Độc lập – Tự do – Hạnh phúc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Số: 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                                …, ngày …. tháng …. năm 20…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Về việc bổ nhiệm công chức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Căn cứ Luật Cán bộ, công chức năm 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Căn cứ Nghị định số 138/2020/NĐ-CP của Chính phủ quy định về tuyển dụng, sử dụng và quản lý công chức;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Căn cứ 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Xét đề nghị của 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Điều 1: Bổ nhiệm Ông ……………………..</w:t>
        <w:br w:type="textWrapping"/>
        <w:t xml:space="preserve">Ông …………………. được hưởng phụ cấp chức vụ với hệ số ….</w:t>
      </w:r>
    </w:p>
    <w:p w:rsidR="00000000" w:rsidDel="00000000" w:rsidP="00000000" w:rsidRDefault="00000000" w:rsidRPr="00000000" w14:paraId="0000000F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Điều 2: Quyết định này có hiệu lực kể từ ngày ký.</w:t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Điều 3: Chánh văn phòng ủy ban nhân dân, Trưởng phòng Nội vụ, Trưởng phòng Tài chính – Kế toán và ông ………….. chịu trách nhiệm thi hành quyết định này./.</w:t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48.0" w:type="dxa"/>
        <w:jc w:val="left"/>
        <w:tblInd w:w="142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424"/>
        <w:gridCol w:w="4424"/>
        <w:tblGridChange w:id="0">
          <w:tblGrid>
            <w:gridCol w:w="4424"/>
            <w:gridCol w:w="4424"/>
          </w:tblGrid>
        </w:tblGridChange>
      </w:tblGrid>
      <w:tr>
        <w:trPr>
          <w:cantSplit w:val="0"/>
          <w:trHeight w:val="1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16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Nơi nhận: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Như điều 3;</w:t>
            </w:r>
          </w:p>
          <w:p w:rsidR="00000000" w:rsidDel="00000000" w:rsidP="00000000" w:rsidRDefault="00000000" w:rsidRPr="00000000" w14:paraId="00000014">
            <w:pPr>
              <w:spacing w:after="16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Lưu VP.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CHỦ TỊCH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