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(Sử dụng phần mở đầu chuẩn như Mẫu 1, bổ sung các điều sau)</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Điều [..]. Diện mạo và Tác phong (Grooming)</w:t>
      </w:r>
    </w:p>
    <w:p w:rsidR="00000000" w:rsidDel="00000000" w:rsidP="00000000" w:rsidRDefault="00000000" w:rsidRPr="00000000" w14:paraId="00000003">
      <w:pPr>
        <w:numPr>
          <w:ilvl w:val="0"/>
          <w:numId w:val="1"/>
        </w:numPr>
        <w:spacing w:after="0" w:afterAutospacing="0" w:before="240" w:lineRule="auto"/>
        <w:ind w:left="720" w:hanging="360"/>
      </w:pPr>
      <w:r w:rsidDel="00000000" w:rsidR="00000000" w:rsidRPr="00000000">
        <w:rPr>
          <w:rtl w:val="0"/>
        </w:rPr>
        <w:t xml:space="preserve">Nhân viên phải mặc đồng phục đúng quy định, đeo bảng tên.</w:t>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rtl w:val="0"/>
        </w:rPr>
        <w:t xml:space="preserve">Đầu tóc gọn gàng, nhân viên nữ trang điểm nhẹ nhàng.</w:t>
      </w:r>
    </w:p>
    <w:p w:rsidR="00000000" w:rsidDel="00000000" w:rsidP="00000000" w:rsidRDefault="00000000" w:rsidRPr="00000000" w14:paraId="00000005">
      <w:pPr>
        <w:numPr>
          <w:ilvl w:val="0"/>
          <w:numId w:val="1"/>
        </w:numPr>
        <w:spacing w:after="240" w:before="0" w:beforeAutospacing="0" w:lineRule="auto"/>
        <w:ind w:left="720" w:hanging="360"/>
      </w:pPr>
      <w:r w:rsidDel="00000000" w:rsidR="00000000" w:rsidRPr="00000000">
        <w:rPr>
          <w:rtl w:val="0"/>
        </w:rPr>
        <w:t xml:space="preserve">Không ăn uống, nhai kẹo cao su, hút thuốc lá trước mặt khách hàng hoặc tại quầy thu ngân/quầy service.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Điều [..]. Quy tắc ứng xử với khách hàng</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tl w:val="0"/>
        </w:rPr>
        <w:t xml:space="preserve">Thực hiện quy tắc: </w:t>
      </w:r>
      <w:r w:rsidDel="00000000" w:rsidR="00000000" w:rsidRPr="00000000">
        <w:rPr>
          <w:b w:val="1"/>
          <w:bCs w:val="1"/>
          <w:rtl w:val="0"/>
        </w:rPr>
        <w:t xml:space="preserve">"Chào - Cười - Cảm ơn"</w:t>
      </w:r>
      <w:r w:rsidDel="00000000" w:rsidR="00000000" w:rsidRPr="00000000">
        <w:rPr>
          <w:rtl w:val="0"/>
        </w:rPr>
        <w:t xml:space="preserve"> với mọi khách hàng.</w:t>
      </w:r>
    </w:p>
    <w:p w:rsidR="00000000" w:rsidDel="00000000" w:rsidP="00000000" w:rsidRDefault="00000000" w:rsidRPr="00000000" w14:paraId="00000008">
      <w:pPr>
        <w:numPr>
          <w:ilvl w:val="0"/>
          <w:numId w:val="2"/>
        </w:numPr>
        <w:spacing w:after="240" w:before="0" w:beforeAutospacing="0" w:lineRule="auto"/>
        <w:ind w:left="720" w:hanging="360"/>
      </w:pPr>
      <w:r w:rsidDel="00000000" w:rsidR="00000000" w:rsidRPr="00000000">
        <w:rPr>
          <w:rtl w:val="0"/>
        </w:rPr>
        <w:t xml:space="preserve">Tuyệt đối không tranh cãi tay đôi, to tiếng với khách hàng. Mọi khiếu nại phải báo cáo Cửa hàng trưởng xử lý.</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Điều [..]. Quản lý Tiền mặt và Hàng hóa</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rtl w:val="0"/>
        </w:rPr>
        <w:t xml:space="preserve">Nhân viên Thu ngân chịu trách nhiệm đền bù 100% nếu xảy ra thiếu hụt tiền mặt trong ca làm việc.</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rtl w:val="0"/>
        </w:rPr>
        <w:t xml:space="preserve">Thực hiện kiểm kê hàng hóa giao nhận ca mỗi ngày. Mọi mất mát hàng hóa không rõ nguyên nhân sẽ chia đều trách nhiệm bồi thường cho nhân viên trong ca đó.</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