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(Sử dụng phần mở đầu chuẩn như Mẫu 1, bổ sung vào Chương III các điều sau)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Điều [..]. Sử dụng Internet và Email công ty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Email công ty chỉ phục vụ mục đích công việc. Không dùng để đăng ký tài khoản mạng xã hội cá nhân hoặc các dịch vụ không liên quan.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Không truy cập web đen, web độc hại trên mạng nội bộ. Nghiêm cấm tải các phần mềm không bản quyền vào máy tính công ty.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Điều [..]. Văn hóa hội họp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Tham dự cuộc họp đúng giờ quy định.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Chuyển điện thoại sang chế độ rung/im lặng.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Chuẩn bị tài liệu và nội dung trước khi vào phòng họp.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Điều [..]. Tiếp khách</w:t>
      </w:r>
      <w:r w:rsidDel="00000000" w:rsidR="00000000" w:rsidRPr="00000000">
        <w:rPr>
          <w:rtl w:val="0"/>
        </w:rPr>
        <w:t xml:space="preserve"> Khách đến liên hệ công tác phải được hướng dẫn ngồi chờ tại Lễ tân hoặc Phòng khách. Không tự ý dẫn người lạ vào khu vực làm việc của các bộ phận khác.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