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5040"/>
        <w:tblGridChange w:id="0">
          <w:tblGrid>
            <w:gridCol w:w="459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Đơn vị: .......................                                  </w:t>
              <w:tab/>
              <w:t xml:space="preserve">Bộ phận: ....................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Mẫu số 08 – LĐTL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(Ban hành theo Thông tư số 133/2016/TT-BTC ngày 26/8/2016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6"/>
          <w:szCs w:val="36"/>
        </w:rPr>
      </w:pPr>
      <w:bookmarkStart w:colFirst="0" w:colLast="0" w:name="_aj7k0q6dkv62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HỢP ĐỒNG GIAO KHOÁN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Ngày ... tháng ... năm ...             </w:t>
        <w:tab/>
        <w:t xml:space="preserve">Số: 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Họ và tên: .................................. Chức vụ: 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Đại diện: ......................... bên giao khoán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Họ và tên: .................................. Chức vụ: 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Đại diện: ......................... bên nhận khoán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CÙNG KÝ KẾT HỢP ĐỒNG GIAO KHOÁN NHƯ SAU: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I- Điều khoản chung: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Phương thức giao khoán: 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Điều kiện thực hiện hợp đồng: 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Thời gian thực hiện hợp đồng: 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Các điều kiện khác: ..............................................................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II- Điều khoản cụ thể: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Nội dung công việc khoán: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Trách nhiệm, quyền lợi và nghĩa vụ của người nhận khoán: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Trách nhiệm, quyền lợi và nghĩa vụ của bên giao khoán: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 Đại diện bên nhận khoán                                      </w:t>
        <w:tab/>
        <w:t xml:space="preserve">Đại diện bên giao khoán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(Ký, họ tên)                                                                 </w:t>
        <w:tab/>
        <w:t xml:space="preserve">(Ký, họ tên)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 Người lập                                                            </w:t>
        <w:tab/>
        <w:t xml:space="preserve">Kế toán trưởng bên giao khoán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(Ký, họ tên)                                 </w:t>
        <w:tab/>
        <w:t xml:space="preserve">                                 (Ký, họ tên)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